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03182" w14:textId="7E6C5996" w:rsidR="00D670D8" w:rsidRPr="00B75ABC" w:rsidRDefault="00155582">
      <w:pPr>
        <w:rPr>
          <w:rFonts w:ascii="Arial" w:hAnsi="Arial" w:cs="Arial"/>
        </w:rPr>
      </w:pPr>
      <w:r w:rsidRPr="00B75ABC">
        <w:rPr>
          <w:rFonts w:ascii="Calibri" w:eastAsia="Calibri" w:hAnsi="Calibri" w:cs="Times New Roman"/>
          <w:noProof/>
        </w:rPr>
        <w:drawing>
          <wp:anchor distT="0" distB="0" distL="114300" distR="114300" simplePos="0" relativeHeight="251658240" behindDoc="1" locked="0" layoutInCell="1" allowOverlap="1" wp14:anchorId="1DB5C163" wp14:editId="299B66EE">
            <wp:simplePos x="0" y="0"/>
            <wp:positionH relativeFrom="margin">
              <wp:posOffset>-106045</wp:posOffset>
            </wp:positionH>
            <wp:positionV relativeFrom="paragraph">
              <wp:posOffset>0</wp:posOffset>
            </wp:positionV>
            <wp:extent cx="1409700" cy="810895"/>
            <wp:effectExtent l="0" t="0" r="0" b="0"/>
            <wp:wrapSquare wrapText="bothSides"/>
            <wp:docPr id="1" name="Picture 1" descr="EFAM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AMA H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810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3AE17" w14:textId="5B4CD2AF" w:rsidR="00B75ABC" w:rsidRPr="00B75ABC" w:rsidRDefault="00B75ABC">
      <w:pPr>
        <w:rPr>
          <w:rFonts w:ascii="Arial" w:hAnsi="Arial" w:cs="Arial"/>
        </w:rPr>
      </w:pPr>
    </w:p>
    <w:p w14:paraId="2A7415C1" w14:textId="77777777" w:rsidR="00155582" w:rsidRDefault="00155582" w:rsidP="00B75ABC">
      <w:pPr>
        <w:spacing w:after="0" w:line="276" w:lineRule="auto"/>
        <w:jc w:val="both"/>
        <w:rPr>
          <w:rFonts w:ascii="Arial" w:eastAsia="Calibri" w:hAnsi="Arial" w:cs="Arial"/>
          <w:sz w:val="20"/>
          <w:szCs w:val="20"/>
          <w:lang w:eastAsia="en-GB"/>
        </w:rPr>
      </w:pPr>
    </w:p>
    <w:p w14:paraId="5FF6B3AC" w14:textId="77777777" w:rsidR="00155582" w:rsidRDefault="00155582" w:rsidP="00B75ABC">
      <w:pPr>
        <w:spacing w:after="0" w:line="276" w:lineRule="auto"/>
        <w:jc w:val="both"/>
        <w:rPr>
          <w:rFonts w:ascii="Arial" w:eastAsia="Calibri" w:hAnsi="Arial" w:cs="Arial"/>
          <w:sz w:val="20"/>
          <w:szCs w:val="20"/>
          <w:lang w:eastAsia="en-GB"/>
        </w:rPr>
      </w:pPr>
    </w:p>
    <w:p w14:paraId="5B6FA6AD" w14:textId="5FCEB5BB" w:rsidR="00B75ABC" w:rsidRPr="005D7253" w:rsidRDefault="0028039D" w:rsidP="00B75ABC">
      <w:pPr>
        <w:spacing w:after="0" w:line="276" w:lineRule="auto"/>
        <w:jc w:val="both"/>
        <w:rPr>
          <w:rFonts w:ascii="Arial" w:eastAsia="Calibri" w:hAnsi="Arial" w:cs="Arial"/>
          <w:sz w:val="20"/>
          <w:szCs w:val="20"/>
          <w:lang w:eastAsia="en-GB"/>
        </w:rPr>
      </w:pPr>
      <w:r>
        <w:rPr>
          <w:rFonts w:ascii="Arial" w:eastAsia="Calibri" w:hAnsi="Arial" w:cs="Arial"/>
          <w:sz w:val="20"/>
          <w:szCs w:val="20"/>
          <w:lang w:eastAsia="en-GB"/>
        </w:rPr>
        <w:t>For</w:t>
      </w:r>
      <w:r w:rsidR="00B75ABC" w:rsidRPr="005D7253">
        <w:rPr>
          <w:rFonts w:ascii="Arial" w:eastAsia="Calibri" w:hAnsi="Arial" w:cs="Arial"/>
          <w:sz w:val="20"/>
          <w:szCs w:val="20"/>
          <w:lang w:eastAsia="en-GB"/>
        </w:rPr>
        <w:t xml:space="preserve"> immediate release</w:t>
      </w:r>
    </w:p>
    <w:p w14:paraId="655A2013" w14:textId="20CC8460" w:rsidR="00B75ABC" w:rsidRPr="005D7253" w:rsidRDefault="0028039D" w:rsidP="00B75ABC">
      <w:pPr>
        <w:spacing w:after="0" w:line="276" w:lineRule="auto"/>
        <w:jc w:val="both"/>
        <w:rPr>
          <w:rFonts w:ascii="Arial" w:eastAsia="Calibri" w:hAnsi="Arial" w:cs="Arial"/>
          <w:sz w:val="20"/>
          <w:szCs w:val="20"/>
          <w:lang w:eastAsia="en-GB"/>
        </w:rPr>
      </w:pPr>
      <w:r>
        <w:rPr>
          <w:rFonts w:ascii="Arial" w:eastAsia="Calibri" w:hAnsi="Arial" w:cs="Arial"/>
          <w:sz w:val="20"/>
          <w:szCs w:val="20"/>
          <w:lang w:eastAsia="en-GB"/>
        </w:rPr>
        <w:t>10</w:t>
      </w:r>
      <w:r w:rsidRPr="0028039D">
        <w:rPr>
          <w:rFonts w:ascii="Arial" w:eastAsia="Calibri" w:hAnsi="Arial" w:cs="Arial"/>
          <w:sz w:val="20"/>
          <w:szCs w:val="20"/>
          <w:vertAlign w:val="superscript"/>
          <w:lang w:eastAsia="en-GB"/>
        </w:rPr>
        <w:t>th</w:t>
      </w:r>
      <w:r>
        <w:rPr>
          <w:rFonts w:ascii="Arial" w:eastAsia="Calibri" w:hAnsi="Arial" w:cs="Arial"/>
          <w:sz w:val="20"/>
          <w:szCs w:val="20"/>
          <w:lang w:eastAsia="en-GB"/>
        </w:rPr>
        <w:t xml:space="preserve"> </w:t>
      </w:r>
      <w:r w:rsidR="0064784E">
        <w:rPr>
          <w:rFonts w:ascii="Arial" w:eastAsia="Calibri" w:hAnsi="Arial" w:cs="Arial"/>
          <w:sz w:val="20"/>
          <w:szCs w:val="20"/>
          <w:lang w:eastAsia="en-GB"/>
        </w:rPr>
        <w:t>March</w:t>
      </w:r>
      <w:r w:rsidR="00F71EAA">
        <w:rPr>
          <w:rFonts w:ascii="Arial" w:eastAsia="Calibri" w:hAnsi="Arial" w:cs="Arial"/>
          <w:sz w:val="20"/>
          <w:szCs w:val="20"/>
          <w:lang w:eastAsia="en-GB"/>
        </w:rPr>
        <w:t>, 2021</w:t>
      </w:r>
    </w:p>
    <w:p w14:paraId="4D8D61F4" w14:textId="77777777" w:rsidR="00B75ABC" w:rsidRPr="00B75ABC" w:rsidRDefault="00B75ABC" w:rsidP="00957D16">
      <w:pPr>
        <w:spacing w:after="0" w:line="276" w:lineRule="auto"/>
        <w:jc w:val="center"/>
        <w:rPr>
          <w:rFonts w:ascii="Arial" w:eastAsia="Calibri" w:hAnsi="Arial" w:cs="Arial"/>
          <w:bCs/>
          <w:lang w:val="en-US"/>
        </w:rPr>
      </w:pPr>
    </w:p>
    <w:p w14:paraId="7621A630" w14:textId="6EEB7668" w:rsidR="00957D16" w:rsidRDefault="006D7A4C" w:rsidP="006D7A4C">
      <w:pPr>
        <w:spacing w:after="0" w:line="276" w:lineRule="auto"/>
        <w:jc w:val="center"/>
        <w:rPr>
          <w:rFonts w:ascii="Arial" w:eastAsia="Calibri" w:hAnsi="Arial" w:cs="Arial"/>
          <w:b/>
          <w:bCs/>
        </w:rPr>
      </w:pPr>
      <w:r w:rsidRPr="006D7A4C">
        <w:rPr>
          <w:rFonts w:ascii="Arial" w:eastAsia="Calibri" w:hAnsi="Arial" w:cs="Arial"/>
          <w:b/>
          <w:bCs/>
        </w:rPr>
        <w:t>EFRAG sets solid foundations for the establishment of mandatory EU sustainability-reporting standards</w:t>
      </w:r>
    </w:p>
    <w:p w14:paraId="5A2A7093" w14:textId="77777777" w:rsidR="006D7A4C" w:rsidRPr="005D7253" w:rsidRDefault="006D7A4C" w:rsidP="006D7A4C">
      <w:pPr>
        <w:spacing w:after="0" w:line="276" w:lineRule="auto"/>
        <w:rPr>
          <w:rFonts w:ascii="Arial" w:eastAsia="Calibri" w:hAnsi="Arial" w:cs="Arial"/>
          <w:bCs/>
          <w:sz w:val="20"/>
          <w:szCs w:val="20"/>
          <w:lang w:val="en-US"/>
        </w:rPr>
      </w:pPr>
    </w:p>
    <w:p w14:paraId="6106C64B" w14:textId="09E62C86" w:rsidR="00326885" w:rsidRDefault="00B75ABC" w:rsidP="00354396">
      <w:pPr>
        <w:spacing w:after="0" w:line="240" w:lineRule="exact"/>
        <w:jc w:val="both"/>
        <w:rPr>
          <w:rFonts w:ascii="Arial" w:eastAsia="Calibri" w:hAnsi="Arial" w:cs="Arial"/>
          <w:sz w:val="20"/>
          <w:szCs w:val="20"/>
          <w:lang w:val="en-US"/>
        </w:rPr>
      </w:pPr>
      <w:r w:rsidRPr="005D7253">
        <w:rPr>
          <w:rFonts w:ascii="Arial" w:eastAsia="Calibri" w:hAnsi="Arial" w:cs="Arial"/>
          <w:b/>
          <w:sz w:val="20"/>
          <w:szCs w:val="20"/>
          <w:lang w:val="en-US"/>
        </w:rPr>
        <w:t xml:space="preserve">Brussels, </w:t>
      </w:r>
      <w:r w:rsidR="006D7A4C">
        <w:rPr>
          <w:rFonts w:ascii="Arial" w:eastAsia="Calibri" w:hAnsi="Arial" w:cs="Arial"/>
          <w:b/>
          <w:sz w:val="20"/>
          <w:szCs w:val="20"/>
          <w:lang w:val="en-US"/>
        </w:rPr>
        <w:t>10</w:t>
      </w:r>
      <w:r w:rsidR="006D7A4C" w:rsidRPr="006D7A4C">
        <w:rPr>
          <w:rFonts w:ascii="Arial" w:eastAsia="Calibri" w:hAnsi="Arial" w:cs="Arial"/>
          <w:b/>
          <w:sz w:val="20"/>
          <w:szCs w:val="20"/>
          <w:vertAlign w:val="superscript"/>
          <w:lang w:val="en-US"/>
        </w:rPr>
        <w:t>th</w:t>
      </w:r>
      <w:r w:rsidR="006D7A4C">
        <w:rPr>
          <w:rFonts w:ascii="Arial" w:eastAsia="Calibri" w:hAnsi="Arial" w:cs="Arial"/>
          <w:b/>
          <w:sz w:val="20"/>
          <w:szCs w:val="20"/>
          <w:lang w:val="en-US"/>
        </w:rPr>
        <w:t xml:space="preserve"> March 2021</w:t>
      </w:r>
      <w:r w:rsidRPr="005D7253">
        <w:rPr>
          <w:rFonts w:ascii="Arial" w:eastAsia="Calibri" w:hAnsi="Arial" w:cs="Arial"/>
          <w:b/>
          <w:sz w:val="20"/>
          <w:szCs w:val="20"/>
          <w:lang w:val="en-US"/>
        </w:rPr>
        <w:t xml:space="preserve"> -</w:t>
      </w:r>
      <w:r w:rsidRPr="005D7253">
        <w:rPr>
          <w:rFonts w:ascii="Arial" w:eastAsia="Calibri" w:hAnsi="Arial" w:cs="Arial"/>
          <w:sz w:val="20"/>
          <w:szCs w:val="20"/>
          <w:lang w:val="en-US"/>
        </w:rPr>
        <w:t xml:space="preserve"> </w:t>
      </w:r>
      <w:r w:rsidR="00326885" w:rsidRPr="00326885">
        <w:rPr>
          <w:rFonts w:ascii="Arial" w:eastAsia="Calibri" w:hAnsi="Arial" w:cs="Arial"/>
          <w:sz w:val="20"/>
          <w:szCs w:val="20"/>
        </w:rPr>
        <w:t xml:space="preserve">The European Fund and Asset Management Association (EFAMA) </w:t>
      </w:r>
      <w:r w:rsidR="00830F49" w:rsidRPr="00830F49">
        <w:rPr>
          <w:rFonts w:ascii="Arial" w:eastAsia="Calibri" w:hAnsi="Arial" w:cs="Arial"/>
          <w:sz w:val="20"/>
          <w:szCs w:val="20"/>
        </w:rPr>
        <w:t>calls on the European Commission to reflect EFRAG´s recommendations for mandatory European Sustainability Reporting Standards in the upcoming NFRD review.</w:t>
      </w:r>
    </w:p>
    <w:p w14:paraId="7645BDF3" w14:textId="6C9508B0" w:rsidR="006D7A4C" w:rsidRDefault="006D7A4C" w:rsidP="006D7A4C">
      <w:pPr>
        <w:shd w:val="clear" w:color="auto" w:fill="FFFFFF"/>
        <w:spacing w:after="0" w:line="240" w:lineRule="exact"/>
        <w:rPr>
          <w:rFonts w:ascii="Arial" w:eastAsia="Calibri" w:hAnsi="Arial" w:cs="Arial"/>
          <w:color w:val="000000"/>
          <w:sz w:val="20"/>
          <w:szCs w:val="20"/>
          <w:lang w:val="en-US"/>
        </w:rPr>
      </w:pPr>
    </w:p>
    <w:p w14:paraId="1B0CA774" w14:textId="241387EC" w:rsidR="006D7A4C" w:rsidRDefault="006D7A4C" w:rsidP="24C165DF">
      <w:pPr>
        <w:shd w:val="clear" w:color="auto" w:fill="FFFFFF" w:themeFill="background1"/>
        <w:spacing w:after="0" w:line="240" w:lineRule="exact"/>
        <w:rPr>
          <w:rFonts w:ascii="Arial" w:eastAsia="Calibri" w:hAnsi="Arial" w:cs="Arial"/>
          <w:color w:val="000000"/>
          <w:sz w:val="20"/>
          <w:szCs w:val="20"/>
          <w:lang w:val="en-US"/>
        </w:rPr>
      </w:pPr>
      <w:r w:rsidRPr="24C165DF">
        <w:rPr>
          <w:rFonts w:ascii="Arial" w:eastAsia="Calibri" w:hAnsi="Arial" w:cs="Arial"/>
          <w:color w:val="000000" w:themeColor="text1"/>
          <w:sz w:val="20"/>
          <w:szCs w:val="20"/>
          <w:lang w:val="en-US"/>
        </w:rPr>
        <w:t xml:space="preserve">Currently, the lack of quality data on how companies perform against sustainability metrics stands out as a fundamental challenge to leveraging private capital addressing the European Green Deal funding gap. </w:t>
      </w:r>
      <w:r w:rsidR="0028039D" w:rsidRPr="24C165DF">
        <w:rPr>
          <w:rFonts w:ascii="Arial" w:eastAsia="Calibri" w:hAnsi="Arial" w:cs="Arial"/>
          <w:color w:val="000000" w:themeColor="text1"/>
          <w:sz w:val="20"/>
          <w:szCs w:val="20"/>
          <w:lang w:val="en-US"/>
        </w:rPr>
        <w:t xml:space="preserve">EFAMA therefore believes </w:t>
      </w:r>
      <w:r w:rsidRPr="24C165DF">
        <w:rPr>
          <w:rFonts w:ascii="Arial" w:eastAsia="Calibri" w:hAnsi="Arial" w:cs="Arial"/>
          <w:color w:val="000000" w:themeColor="text1"/>
          <w:sz w:val="20"/>
          <w:szCs w:val="20"/>
          <w:lang w:val="en-US"/>
        </w:rPr>
        <w:t>th</w:t>
      </w:r>
      <w:r w:rsidR="00745F0B" w:rsidRPr="24C165DF">
        <w:rPr>
          <w:rFonts w:ascii="Arial" w:eastAsia="Calibri" w:hAnsi="Arial" w:cs="Arial"/>
          <w:color w:val="000000" w:themeColor="text1"/>
          <w:sz w:val="20"/>
          <w:szCs w:val="20"/>
          <w:lang w:val="en-US"/>
        </w:rPr>
        <w:t>at</w:t>
      </w:r>
      <w:r w:rsidRPr="24C165DF">
        <w:rPr>
          <w:rFonts w:ascii="Arial" w:eastAsia="Calibri" w:hAnsi="Arial" w:cs="Arial"/>
          <w:color w:val="000000" w:themeColor="text1"/>
          <w:sz w:val="20"/>
          <w:szCs w:val="20"/>
          <w:lang w:val="en-US"/>
        </w:rPr>
        <w:t xml:space="preserve"> accelerated development of mandatory European Sustainability Reporting Standards </w:t>
      </w:r>
      <w:r w:rsidR="009640F6" w:rsidRPr="24C165DF">
        <w:rPr>
          <w:rFonts w:ascii="Arial" w:eastAsia="Calibri" w:hAnsi="Arial" w:cs="Arial"/>
          <w:color w:val="000000" w:themeColor="text1"/>
          <w:sz w:val="20"/>
          <w:szCs w:val="20"/>
          <w:lang w:val="en-US"/>
        </w:rPr>
        <w:t>could be</w:t>
      </w:r>
      <w:r w:rsidR="5A5270AC" w:rsidRPr="24C165DF">
        <w:rPr>
          <w:rFonts w:ascii="Arial" w:eastAsia="Calibri" w:hAnsi="Arial" w:cs="Arial"/>
          <w:color w:val="000000" w:themeColor="text1"/>
          <w:sz w:val="20"/>
          <w:szCs w:val="20"/>
          <w:lang w:val="en-US"/>
        </w:rPr>
        <w:t>come</w:t>
      </w:r>
      <w:r w:rsidR="009640F6" w:rsidRPr="24C165DF">
        <w:rPr>
          <w:rFonts w:ascii="Arial" w:eastAsia="Calibri" w:hAnsi="Arial" w:cs="Arial"/>
          <w:color w:val="000000" w:themeColor="text1"/>
          <w:sz w:val="20"/>
          <w:szCs w:val="20"/>
          <w:lang w:val="en-US"/>
        </w:rPr>
        <w:t xml:space="preserve"> </w:t>
      </w:r>
      <w:r w:rsidR="00AD0650" w:rsidRPr="24C165DF">
        <w:rPr>
          <w:rFonts w:ascii="Arial" w:eastAsia="Calibri" w:hAnsi="Arial" w:cs="Arial"/>
          <w:color w:val="000000" w:themeColor="text1"/>
          <w:sz w:val="20"/>
          <w:szCs w:val="20"/>
          <w:lang w:val="en-US"/>
        </w:rPr>
        <w:t xml:space="preserve">a </w:t>
      </w:r>
      <w:r w:rsidRPr="24C165DF">
        <w:rPr>
          <w:rFonts w:ascii="Arial" w:eastAsia="Calibri" w:hAnsi="Arial" w:cs="Arial"/>
          <w:color w:val="000000" w:themeColor="text1"/>
          <w:sz w:val="20"/>
          <w:szCs w:val="20"/>
          <w:lang w:val="en-US"/>
        </w:rPr>
        <w:t>game-changer unleashing the impact of sustainable finance.</w:t>
      </w:r>
    </w:p>
    <w:p w14:paraId="6E87BC9C" w14:textId="1A146252" w:rsidR="006D7A4C" w:rsidRPr="006D7A4C" w:rsidRDefault="006D7A4C" w:rsidP="006D7A4C">
      <w:pPr>
        <w:shd w:val="clear" w:color="auto" w:fill="FFFFFF"/>
        <w:spacing w:after="0" w:line="240" w:lineRule="exact"/>
        <w:rPr>
          <w:rFonts w:ascii="Arial" w:eastAsia="Calibri" w:hAnsi="Arial" w:cs="Arial"/>
          <w:color w:val="000000"/>
          <w:sz w:val="20"/>
          <w:szCs w:val="20"/>
          <w:lang w:val="en-US"/>
        </w:rPr>
      </w:pPr>
      <w:r w:rsidRPr="006D7A4C">
        <w:rPr>
          <w:rFonts w:ascii="Arial" w:eastAsia="Calibri" w:hAnsi="Arial" w:cs="Arial"/>
          <w:color w:val="000000"/>
          <w:sz w:val="20"/>
          <w:szCs w:val="20"/>
          <w:lang w:val="en-US"/>
        </w:rPr>
        <w:t xml:space="preserve"> </w:t>
      </w:r>
    </w:p>
    <w:p w14:paraId="685B950B" w14:textId="4F80C171" w:rsidR="006D7A4C" w:rsidRDefault="006D7A4C" w:rsidP="006D7A4C">
      <w:pPr>
        <w:shd w:val="clear" w:color="auto" w:fill="FFFFFF"/>
        <w:spacing w:after="0" w:line="240" w:lineRule="exact"/>
        <w:rPr>
          <w:rFonts w:ascii="Arial" w:eastAsia="Calibri" w:hAnsi="Arial" w:cs="Arial"/>
          <w:color w:val="000000"/>
          <w:sz w:val="20"/>
          <w:szCs w:val="20"/>
          <w:lang w:val="en-US"/>
        </w:rPr>
      </w:pPr>
      <w:bookmarkStart w:id="0" w:name="_Hlk66101870"/>
      <w:r w:rsidRPr="006D7A4C">
        <w:rPr>
          <w:rFonts w:ascii="Arial" w:eastAsia="Calibri" w:hAnsi="Arial" w:cs="Arial"/>
          <w:color w:val="000000"/>
          <w:sz w:val="20"/>
          <w:szCs w:val="20"/>
          <w:lang w:val="en-US"/>
        </w:rPr>
        <w:t>EFRAG´s proposals for the standard-setting process are positive as they:</w:t>
      </w:r>
    </w:p>
    <w:p w14:paraId="1989DDA6" w14:textId="77777777" w:rsidR="006D7A4C" w:rsidRPr="006D7A4C" w:rsidRDefault="006D7A4C" w:rsidP="006D7A4C">
      <w:pPr>
        <w:shd w:val="clear" w:color="auto" w:fill="FFFFFF"/>
        <w:spacing w:after="0" w:line="240" w:lineRule="exact"/>
        <w:rPr>
          <w:rFonts w:ascii="Arial" w:eastAsia="Calibri" w:hAnsi="Arial" w:cs="Arial"/>
          <w:color w:val="000000"/>
          <w:sz w:val="20"/>
          <w:szCs w:val="20"/>
          <w:lang w:val="en-US"/>
        </w:rPr>
      </w:pPr>
    </w:p>
    <w:bookmarkEnd w:id="0"/>
    <w:p w14:paraId="1C71C840" w14:textId="77777777" w:rsidR="006D7A4C" w:rsidRPr="006D7A4C" w:rsidRDefault="006D7A4C" w:rsidP="006D7A4C">
      <w:pPr>
        <w:numPr>
          <w:ilvl w:val="0"/>
          <w:numId w:val="45"/>
        </w:numPr>
        <w:shd w:val="clear" w:color="auto" w:fill="FFFFFF"/>
        <w:spacing w:after="0" w:line="240" w:lineRule="exact"/>
        <w:rPr>
          <w:rFonts w:ascii="Arial" w:eastAsia="Calibri" w:hAnsi="Arial" w:cs="Arial"/>
          <w:color w:val="000000"/>
          <w:sz w:val="20"/>
          <w:szCs w:val="20"/>
          <w:lang w:val="en-US"/>
        </w:rPr>
      </w:pPr>
      <w:proofErr w:type="spellStart"/>
      <w:r w:rsidRPr="006D7A4C">
        <w:rPr>
          <w:rFonts w:ascii="Arial" w:eastAsia="Calibri" w:hAnsi="Arial" w:cs="Arial"/>
          <w:color w:val="000000"/>
          <w:sz w:val="20"/>
          <w:szCs w:val="20"/>
          <w:lang w:val="en-US"/>
        </w:rPr>
        <w:t>Recognise</w:t>
      </w:r>
      <w:proofErr w:type="spellEnd"/>
      <w:r w:rsidRPr="006D7A4C">
        <w:rPr>
          <w:rFonts w:ascii="Arial" w:eastAsia="Calibri" w:hAnsi="Arial" w:cs="Arial"/>
          <w:color w:val="000000"/>
          <w:sz w:val="20"/>
          <w:szCs w:val="20"/>
          <w:lang w:val="en-US"/>
        </w:rPr>
        <w:t xml:space="preserve"> the </w:t>
      </w:r>
      <w:bookmarkStart w:id="1" w:name="_Hlk66101169"/>
      <w:r w:rsidRPr="006D7A4C">
        <w:rPr>
          <w:rFonts w:ascii="Arial" w:eastAsia="Calibri" w:hAnsi="Arial" w:cs="Arial"/>
          <w:color w:val="000000"/>
          <w:sz w:val="20"/>
          <w:szCs w:val="20"/>
          <w:lang w:val="en-US"/>
        </w:rPr>
        <w:t>“insufficient quality of sustainability reporting” and the “specific challenges financial institutions face in reporting their sustainability impacts”</w:t>
      </w:r>
      <w:bookmarkEnd w:id="1"/>
      <w:r w:rsidRPr="006D7A4C">
        <w:rPr>
          <w:rFonts w:ascii="Arial" w:eastAsia="Calibri" w:hAnsi="Arial" w:cs="Arial"/>
          <w:color w:val="000000"/>
          <w:sz w:val="20"/>
          <w:szCs w:val="20"/>
          <w:lang w:val="en-US"/>
        </w:rPr>
        <w:t xml:space="preserve">. By addressing the inconsistencies between the recently adopted sustainable finance legislative initiatives, mandatory European Sustainability Reporting Standards (ESS) can improve the integration of ESG into investment decisions and support the fulfilment of asset managers´ own disclosure requirements. For example, disclosures following the ESS under the revised NFRD </w:t>
      </w:r>
      <w:r w:rsidRPr="006D7A4C">
        <w:rPr>
          <w:rFonts w:ascii="Arial" w:eastAsia="Calibri" w:hAnsi="Arial" w:cs="Arial"/>
          <w:color w:val="000000"/>
          <w:sz w:val="20"/>
          <w:szCs w:val="20"/>
          <w:lang w:val="sk-SK"/>
        </w:rPr>
        <w:t>would</w:t>
      </w:r>
      <w:r w:rsidRPr="006D7A4C">
        <w:rPr>
          <w:rFonts w:ascii="Arial" w:eastAsia="Calibri" w:hAnsi="Arial" w:cs="Arial"/>
          <w:color w:val="000000"/>
          <w:sz w:val="20"/>
          <w:szCs w:val="20"/>
          <w:lang w:val="en-US"/>
        </w:rPr>
        <w:t xml:space="preserve"> serve as the primary source of input for financial institutions´ reporting requirements imposed by the EU Taxonomy KPIs and the SFDR. </w:t>
      </w:r>
    </w:p>
    <w:p w14:paraId="541BFF63" w14:textId="77777777" w:rsidR="006D7A4C" w:rsidRPr="006D7A4C" w:rsidRDefault="006D7A4C" w:rsidP="006D7A4C">
      <w:pPr>
        <w:shd w:val="clear" w:color="auto" w:fill="FFFFFF"/>
        <w:spacing w:after="0" w:line="240" w:lineRule="exact"/>
        <w:rPr>
          <w:rFonts w:ascii="Arial" w:eastAsia="Calibri" w:hAnsi="Arial" w:cs="Arial"/>
          <w:color w:val="000000"/>
          <w:sz w:val="20"/>
          <w:szCs w:val="20"/>
          <w:lang w:val="en-US"/>
        </w:rPr>
      </w:pPr>
    </w:p>
    <w:p w14:paraId="51216563" w14:textId="77777777" w:rsidR="006D7A4C" w:rsidRPr="006D7A4C" w:rsidRDefault="006D7A4C" w:rsidP="006D7A4C">
      <w:pPr>
        <w:numPr>
          <w:ilvl w:val="0"/>
          <w:numId w:val="45"/>
        </w:numPr>
        <w:shd w:val="clear" w:color="auto" w:fill="FFFFFF"/>
        <w:spacing w:after="0" w:line="240" w:lineRule="exact"/>
        <w:rPr>
          <w:rFonts w:ascii="Arial" w:eastAsia="Calibri" w:hAnsi="Arial" w:cs="Arial"/>
          <w:color w:val="000000"/>
          <w:sz w:val="20"/>
          <w:szCs w:val="20"/>
          <w:lang w:val="en-US"/>
        </w:rPr>
      </w:pPr>
      <w:r w:rsidRPr="006D7A4C">
        <w:rPr>
          <w:rFonts w:ascii="Arial" w:eastAsia="Calibri" w:hAnsi="Arial" w:cs="Arial"/>
          <w:color w:val="000000"/>
          <w:sz w:val="20"/>
          <w:szCs w:val="20"/>
          <w:lang w:val="en-US"/>
        </w:rPr>
        <w:t xml:space="preserve">Aim to </w:t>
      </w:r>
      <w:bookmarkStart w:id="2" w:name="_Hlk66101261"/>
      <w:proofErr w:type="spellStart"/>
      <w:r w:rsidRPr="006D7A4C">
        <w:rPr>
          <w:rFonts w:ascii="Arial" w:eastAsia="Calibri" w:hAnsi="Arial" w:cs="Arial"/>
          <w:color w:val="000000"/>
          <w:sz w:val="20"/>
          <w:szCs w:val="20"/>
          <w:lang w:val="en-US"/>
        </w:rPr>
        <w:t>operationalise</w:t>
      </w:r>
      <w:proofErr w:type="spellEnd"/>
      <w:r w:rsidRPr="006D7A4C">
        <w:rPr>
          <w:rFonts w:ascii="Arial" w:eastAsia="Calibri" w:hAnsi="Arial" w:cs="Arial"/>
          <w:color w:val="000000"/>
          <w:sz w:val="20"/>
          <w:szCs w:val="20"/>
          <w:lang w:val="en-US"/>
        </w:rPr>
        <w:t xml:space="preserve"> the double materiality concept and strengthen the interactions between impact and financial materiality perspectives</w:t>
      </w:r>
      <w:bookmarkEnd w:id="2"/>
      <w:r w:rsidRPr="006D7A4C">
        <w:rPr>
          <w:rFonts w:ascii="Arial" w:eastAsia="Calibri" w:hAnsi="Arial" w:cs="Arial"/>
          <w:color w:val="000000"/>
          <w:sz w:val="20"/>
          <w:szCs w:val="20"/>
          <w:lang w:val="en-US"/>
        </w:rPr>
        <w:t>. This link could be supported by the proposed integration of sustainability statements in management reports.</w:t>
      </w:r>
    </w:p>
    <w:p w14:paraId="093B5A70" w14:textId="77777777" w:rsidR="006D7A4C" w:rsidRPr="006D7A4C" w:rsidRDefault="006D7A4C" w:rsidP="006D7A4C">
      <w:pPr>
        <w:shd w:val="clear" w:color="auto" w:fill="FFFFFF"/>
        <w:spacing w:after="0" w:line="240" w:lineRule="exact"/>
        <w:rPr>
          <w:rFonts w:ascii="Arial" w:eastAsia="Calibri" w:hAnsi="Arial" w:cs="Arial"/>
          <w:color w:val="000000"/>
          <w:sz w:val="20"/>
          <w:szCs w:val="20"/>
          <w:lang w:val="en-US"/>
        </w:rPr>
      </w:pPr>
    </w:p>
    <w:p w14:paraId="7BB13C4F" w14:textId="77777777" w:rsidR="006D7A4C" w:rsidRPr="006D7A4C" w:rsidRDefault="006D7A4C" w:rsidP="006D7A4C">
      <w:pPr>
        <w:numPr>
          <w:ilvl w:val="0"/>
          <w:numId w:val="45"/>
        </w:numPr>
        <w:shd w:val="clear" w:color="auto" w:fill="FFFFFF"/>
        <w:spacing w:after="0" w:line="240" w:lineRule="exact"/>
        <w:rPr>
          <w:rFonts w:ascii="Arial" w:eastAsia="Calibri" w:hAnsi="Arial" w:cs="Arial"/>
          <w:color w:val="000000"/>
          <w:sz w:val="20"/>
          <w:szCs w:val="20"/>
          <w:lang w:val="en-US"/>
        </w:rPr>
      </w:pPr>
      <w:bookmarkStart w:id="3" w:name="_Hlk66101395"/>
      <w:r w:rsidRPr="006D7A4C">
        <w:rPr>
          <w:rFonts w:ascii="Arial" w:eastAsia="Calibri" w:hAnsi="Arial" w:cs="Arial"/>
          <w:color w:val="000000"/>
          <w:sz w:val="20"/>
          <w:szCs w:val="20"/>
          <w:lang w:val="en-US"/>
        </w:rPr>
        <w:t xml:space="preserve">Recommend improving the quality, availability, and usability of sustainability reporting “in terms of reporting structure and presentation”, facilitating its </w:t>
      </w:r>
      <w:proofErr w:type="spellStart"/>
      <w:r w:rsidRPr="006D7A4C">
        <w:rPr>
          <w:rFonts w:ascii="Arial" w:eastAsia="Calibri" w:hAnsi="Arial" w:cs="Arial"/>
          <w:color w:val="000000"/>
          <w:sz w:val="20"/>
          <w:szCs w:val="20"/>
          <w:lang w:val="en-US"/>
        </w:rPr>
        <w:t>digitisation</w:t>
      </w:r>
      <w:bookmarkEnd w:id="3"/>
      <w:proofErr w:type="spellEnd"/>
      <w:r w:rsidRPr="006D7A4C">
        <w:rPr>
          <w:rFonts w:ascii="Arial" w:eastAsia="Calibri" w:hAnsi="Arial" w:cs="Arial"/>
          <w:color w:val="000000"/>
          <w:sz w:val="20"/>
          <w:szCs w:val="20"/>
          <w:lang w:val="en-US"/>
        </w:rPr>
        <w:t xml:space="preserve">. EFAMA believes that ESS disclosures should be channeled into the European Single Access Point, which should </w:t>
      </w:r>
      <w:proofErr w:type="spellStart"/>
      <w:r w:rsidRPr="006D7A4C">
        <w:rPr>
          <w:rFonts w:ascii="Arial" w:eastAsia="Calibri" w:hAnsi="Arial" w:cs="Arial"/>
          <w:color w:val="000000"/>
          <w:sz w:val="20"/>
          <w:szCs w:val="20"/>
          <w:lang w:val="en-US"/>
        </w:rPr>
        <w:t>prioritise</w:t>
      </w:r>
      <w:proofErr w:type="spellEnd"/>
      <w:r w:rsidRPr="006D7A4C">
        <w:rPr>
          <w:rFonts w:ascii="Arial" w:eastAsia="Calibri" w:hAnsi="Arial" w:cs="Arial"/>
          <w:color w:val="000000"/>
          <w:sz w:val="20"/>
          <w:szCs w:val="20"/>
          <w:lang w:val="en-US"/>
        </w:rPr>
        <w:t xml:space="preserve"> the </w:t>
      </w:r>
      <w:proofErr w:type="spellStart"/>
      <w:r w:rsidRPr="006D7A4C">
        <w:rPr>
          <w:rFonts w:ascii="Arial" w:eastAsia="Calibri" w:hAnsi="Arial" w:cs="Arial"/>
          <w:color w:val="000000"/>
          <w:sz w:val="20"/>
          <w:szCs w:val="20"/>
          <w:lang w:val="en-US"/>
        </w:rPr>
        <w:t>centralisation</w:t>
      </w:r>
      <w:proofErr w:type="spellEnd"/>
      <w:r w:rsidRPr="006D7A4C">
        <w:rPr>
          <w:rFonts w:ascii="Arial" w:eastAsia="Calibri" w:hAnsi="Arial" w:cs="Arial"/>
          <w:color w:val="000000"/>
          <w:sz w:val="20"/>
          <w:szCs w:val="20"/>
          <w:lang w:val="en-US"/>
        </w:rPr>
        <w:t xml:space="preserve"> of ESG company data on the principle of open access.</w:t>
      </w:r>
    </w:p>
    <w:p w14:paraId="5963AEE4" w14:textId="77777777" w:rsidR="006D7A4C" w:rsidRPr="006D7A4C" w:rsidRDefault="006D7A4C" w:rsidP="006D7A4C">
      <w:pPr>
        <w:pStyle w:val="ListParagraph"/>
        <w:spacing w:after="0"/>
        <w:rPr>
          <w:rFonts w:ascii="Arial" w:eastAsia="Calibri" w:hAnsi="Arial" w:cs="Arial"/>
          <w:color w:val="000000"/>
          <w:sz w:val="20"/>
          <w:szCs w:val="20"/>
          <w:lang w:val="en-US"/>
        </w:rPr>
      </w:pPr>
    </w:p>
    <w:p w14:paraId="3E975AEC" w14:textId="7C06DCB7" w:rsidR="006D7A4C" w:rsidRDefault="006D7A4C" w:rsidP="006D7A4C">
      <w:pPr>
        <w:numPr>
          <w:ilvl w:val="0"/>
          <w:numId w:val="45"/>
        </w:numPr>
        <w:shd w:val="clear" w:color="auto" w:fill="FFFFFF"/>
        <w:spacing w:after="0" w:line="240" w:lineRule="exact"/>
        <w:rPr>
          <w:rFonts w:ascii="Arial" w:eastAsia="Calibri" w:hAnsi="Arial" w:cs="Arial"/>
          <w:color w:val="000000"/>
          <w:sz w:val="20"/>
          <w:szCs w:val="20"/>
          <w:lang w:val="en-US"/>
        </w:rPr>
      </w:pPr>
      <w:r w:rsidRPr="006D7A4C">
        <w:rPr>
          <w:rFonts w:ascii="Arial" w:eastAsia="Calibri" w:hAnsi="Arial" w:cs="Arial"/>
          <w:color w:val="000000"/>
          <w:sz w:val="20"/>
          <w:szCs w:val="20"/>
          <w:lang w:val="en-US"/>
        </w:rPr>
        <w:t>Set strong conceptual guidelines that strike the right degree of inclusiveness when defining the range of stakeholders and boundaries of value chain reporting. These would be complemented by governance duties for corporate directors under the Sustainable Corporate Governance initiative.</w:t>
      </w:r>
      <w:r w:rsidR="00707D52" w:rsidRPr="00707D52">
        <w:rPr>
          <w:rFonts w:ascii="Arial" w:eastAsia="Calibri" w:hAnsi="Arial" w:cs="Arial"/>
          <w:color w:val="000000"/>
          <w:sz w:val="20"/>
          <w:szCs w:val="20"/>
          <w:lang w:val="en-US"/>
        </w:rPr>
        <w:t xml:space="preserve"> </w:t>
      </w:r>
    </w:p>
    <w:p w14:paraId="4F87E65A" w14:textId="77777777" w:rsidR="006D7A4C" w:rsidRDefault="006D7A4C" w:rsidP="006D7A4C">
      <w:pPr>
        <w:pStyle w:val="ListParagraph"/>
        <w:spacing w:after="0"/>
        <w:rPr>
          <w:rFonts w:ascii="Arial" w:eastAsia="Calibri" w:hAnsi="Arial" w:cs="Arial"/>
          <w:color w:val="000000"/>
          <w:sz w:val="20"/>
          <w:szCs w:val="20"/>
          <w:lang w:val="en-US"/>
        </w:rPr>
      </w:pPr>
    </w:p>
    <w:p w14:paraId="0DB20DA0" w14:textId="46B4A658" w:rsidR="006D7A4C" w:rsidRDefault="006D7A4C" w:rsidP="006D7A4C">
      <w:pPr>
        <w:numPr>
          <w:ilvl w:val="0"/>
          <w:numId w:val="45"/>
        </w:numPr>
        <w:shd w:val="clear" w:color="auto" w:fill="FFFFFF"/>
        <w:spacing w:after="0" w:line="240" w:lineRule="exact"/>
        <w:rPr>
          <w:rFonts w:ascii="Arial" w:eastAsia="Calibri" w:hAnsi="Arial" w:cs="Arial"/>
          <w:color w:val="000000"/>
          <w:sz w:val="20"/>
          <w:szCs w:val="20"/>
          <w:lang w:val="en-US"/>
        </w:rPr>
      </w:pPr>
      <w:proofErr w:type="spellStart"/>
      <w:r w:rsidRPr="006D7A4C">
        <w:rPr>
          <w:rFonts w:ascii="Arial" w:eastAsia="Calibri" w:hAnsi="Arial" w:cs="Arial"/>
          <w:color w:val="000000"/>
          <w:sz w:val="20"/>
          <w:szCs w:val="20"/>
          <w:lang w:val="en-US"/>
        </w:rPr>
        <w:t>Recognise</w:t>
      </w:r>
      <w:proofErr w:type="spellEnd"/>
      <w:r w:rsidRPr="006D7A4C">
        <w:rPr>
          <w:rFonts w:ascii="Arial" w:eastAsia="Calibri" w:hAnsi="Arial" w:cs="Arial"/>
          <w:color w:val="000000"/>
          <w:sz w:val="20"/>
          <w:szCs w:val="20"/>
          <w:lang w:val="en-US"/>
        </w:rPr>
        <w:t xml:space="preserve"> the need for an urgent solution, and that the ESS should follow a phased, “climate first approach”, </w:t>
      </w:r>
      <w:proofErr w:type="spellStart"/>
      <w:r w:rsidRPr="006D7A4C">
        <w:rPr>
          <w:rFonts w:ascii="Arial" w:eastAsia="Calibri" w:hAnsi="Arial" w:cs="Arial"/>
          <w:color w:val="000000"/>
          <w:sz w:val="20"/>
          <w:szCs w:val="20"/>
          <w:lang w:val="en-US"/>
        </w:rPr>
        <w:t>prioritising</w:t>
      </w:r>
      <w:proofErr w:type="spellEnd"/>
      <w:r w:rsidRPr="006D7A4C">
        <w:rPr>
          <w:rFonts w:ascii="Arial" w:eastAsia="Calibri" w:hAnsi="Arial" w:cs="Arial"/>
          <w:color w:val="000000"/>
          <w:sz w:val="20"/>
          <w:szCs w:val="20"/>
          <w:lang w:val="en-US"/>
        </w:rPr>
        <w:t xml:space="preserve"> disclosures with “advanced standards on climate change”</w:t>
      </w:r>
      <w:r>
        <w:rPr>
          <w:rFonts w:ascii="Arial" w:eastAsia="Calibri" w:hAnsi="Arial" w:cs="Arial"/>
          <w:color w:val="000000"/>
          <w:sz w:val="20"/>
          <w:szCs w:val="20"/>
          <w:lang w:val="en-US"/>
        </w:rPr>
        <w:t xml:space="preserve">. </w:t>
      </w:r>
    </w:p>
    <w:p w14:paraId="0E136999" w14:textId="77777777" w:rsidR="006D7A4C" w:rsidRDefault="006D7A4C" w:rsidP="006D7A4C">
      <w:pPr>
        <w:pStyle w:val="ListParagraph"/>
        <w:spacing w:after="0"/>
        <w:rPr>
          <w:rFonts w:ascii="Arial" w:eastAsia="Calibri" w:hAnsi="Arial" w:cs="Arial"/>
          <w:color w:val="000000"/>
          <w:sz w:val="20"/>
          <w:szCs w:val="20"/>
          <w:lang w:val="en-US"/>
        </w:rPr>
      </w:pPr>
    </w:p>
    <w:p w14:paraId="63D1C2EB" w14:textId="152DD400" w:rsidR="006D7A4C" w:rsidRPr="006D7A4C" w:rsidRDefault="006D7A4C" w:rsidP="006D7A4C">
      <w:pPr>
        <w:pStyle w:val="ListParagraph"/>
        <w:numPr>
          <w:ilvl w:val="0"/>
          <w:numId w:val="45"/>
        </w:numPr>
        <w:spacing w:after="0"/>
        <w:rPr>
          <w:rFonts w:ascii="Arial" w:eastAsia="Calibri" w:hAnsi="Arial" w:cs="Arial"/>
          <w:color w:val="000000"/>
          <w:sz w:val="20"/>
          <w:szCs w:val="20"/>
          <w:lang w:val="en-US"/>
        </w:rPr>
      </w:pPr>
      <w:r w:rsidRPr="006D7A4C">
        <w:rPr>
          <w:rFonts w:ascii="Arial" w:eastAsia="Calibri" w:hAnsi="Arial" w:cs="Arial"/>
          <w:color w:val="000000"/>
          <w:sz w:val="20"/>
          <w:szCs w:val="20"/>
          <w:lang w:val="en-US"/>
        </w:rPr>
        <w:t xml:space="preserve">Recommend providing input and contribute to international </w:t>
      </w:r>
      <w:r w:rsidR="009544E7">
        <w:rPr>
          <w:rFonts w:ascii="Arial" w:eastAsia="Calibri" w:hAnsi="Arial" w:cs="Arial"/>
          <w:color w:val="000000"/>
          <w:sz w:val="20"/>
          <w:szCs w:val="20"/>
          <w:lang w:val="en-US"/>
        </w:rPr>
        <w:t xml:space="preserve">standard-setting </w:t>
      </w:r>
      <w:r w:rsidRPr="006D7A4C">
        <w:rPr>
          <w:rFonts w:ascii="Arial" w:eastAsia="Calibri" w:hAnsi="Arial" w:cs="Arial"/>
          <w:color w:val="000000"/>
          <w:sz w:val="20"/>
          <w:szCs w:val="20"/>
          <w:lang w:val="en-US"/>
        </w:rPr>
        <w:t xml:space="preserve">initiatives in a “co-constructive” spirit.”. </w:t>
      </w:r>
    </w:p>
    <w:p w14:paraId="1B5E5C9B" w14:textId="77777777" w:rsidR="006D7A4C" w:rsidRPr="006D7A4C" w:rsidRDefault="006D7A4C" w:rsidP="006D7A4C">
      <w:pPr>
        <w:shd w:val="clear" w:color="auto" w:fill="FFFFFF"/>
        <w:spacing w:after="0" w:line="240" w:lineRule="exact"/>
        <w:ind w:left="142"/>
        <w:rPr>
          <w:rFonts w:ascii="Arial" w:eastAsia="Calibri" w:hAnsi="Arial" w:cs="Arial"/>
          <w:color w:val="000000"/>
          <w:sz w:val="20"/>
          <w:szCs w:val="20"/>
          <w:lang w:val="en-US"/>
        </w:rPr>
      </w:pPr>
    </w:p>
    <w:p w14:paraId="2C7B4871" w14:textId="552F5C91" w:rsidR="006D7A4C" w:rsidRPr="0091423E" w:rsidRDefault="00FD4D33" w:rsidP="006D7A4C">
      <w:pPr>
        <w:shd w:val="clear" w:color="auto" w:fill="FFFFFF"/>
        <w:spacing w:after="0" w:line="240" w:lineRule="exact"/>
        <w:rPr>
          <w:rFonts w:ascii="Arial" w:eastAsia="Calibri" w:hAnsi="Arial" w:cs="Arial"/>
          <w:color w:val="000000"/>
          <w:sz w:val="20"/>
          <w:szCs w:val="20"/>
          <w:lang w:val="en-US"/>
        </w:rPr>
      </w:pPr>
      <w:r w:rsidRPr="002063D7">
        <w:rPr>
          <w:rFonts w:ascii="Arial" w:eastAsia="Calibri" w:hAnsi="Arial" w:cs="Arial"/>
          <w:color w:val="000000"/>
          <w:sz w:val="20"/>
          <w:szCs w:val="20"/>
          <w:lang w:val="en-US"/>
        </w:rPr>
        <w:t xml:space="preserve">We </w:t>
      </w:r>
      <w:r>
        <w:rPr>
          <w:rFonts w:ascii="Arial" w:eastAsia="Calibri" w:hAnsi="Arial" w:cs="Arial"/>
          <w:color w:val="000000"/>
          <w:sz w:val="20"/>
          <w:szCs w:val="20"/>
          <w:lang w:val="en-US"/>
        </w:rPr>
        <w:t xml:space="preserve">also </w:t>
      </w:r>
      <w:r w:rsidRPr="002063D7">
        <w:rPr>
          <w:rFonts w:ascii="Arial" w:eastAsia="Calibri" w:hAnsi="Arial" w:cs="Arial"/>
          <w:color w:val="000000"/>
          <w:sz w:val="20"/>
          <w:szCs w:val="20"/>
          <w:lang w:val="en-US"/>
        </w:rPr>
        <w:t>find that the information reported under an ESS can help corporate directors set credible targets and sustainability objectives, and asset managers perform their role as stewards of investee companies, contributing to the objectives of the sustainable corporate governance initiative</w:t>
      </w:r>
      <w:r>
        <w:rPr>
          <w:rFonts w:ascii="Arial" w:eastAsia="Calibri" w:hAnsi="Arial" w:cs="Arial"/>
          <w:color w:val="000000"/>
          <w:sz w:val="20"/>
          <w:szCs w:val="20"/>
          <w:lang w:val="en-US"/>
        </w:rPr>
        <w:t>.</w:t>
      </w:r>
      <w:r w:rsidR="006D7A4C" w:rsidRPr="0091423E">
        <w:rPr>
          <w:rFonts w:ascii="Arial" w:eastAsia="Calibri" w:hAnsi="Arial" w:cs="Arial"/>
          <w:color w:val="000000"/>
          <w:sz w:val="20"/>
          <w:szCs w:val="20"/>
          <w:lang w:val="en-US"/>
        </w:rPr>
        <w:t>.</w:t>
      </w:r>
    </w:p>
    <w:p w14:paraId="3CF00E91" w14:textId="606BADE3" w:rsidR="006D7A4C" w:rsidRDefault="006D7A4C" w:rsidP="006D7A4C">
      <w:pPr>
        <w:shd w:val="clear" w:color="auto" w:fill="FFFFFF"/>
        <w:spacing w:after="0" w:line="240" w:lineRule="exact"/>
        <w:rPr>
          <w:rFonts w:ascii="Arial" w:eastAsia="Calibri" w:hAnsi="Arial" w:cs="Arial"/>
          <w:i/>
          <w:iCs/>
          <w:color w:val="000000"/>
          <w:sz w:val="20"/>
          <w:szCs w:val="20"/>
          <w:lang w:val="en-US"/>
        </w:rPr>
      </w:pPr>
    </w:p>
    <w:p w14:paraId="48D9E729" w14:textId="4AF5F67B" w:rsidR="006D7A4C" w:rsidRDefault="006D7A4C" w:rsidP="006D7A4C">
      <w:pPr>
        <w:rPr>
          <w:rFonts w:ascii="Arial" w:eastAsia="Calibri" w:hAnsi="Arial" w:cs="Arial"/>
          <w:b/>
          <w:bCs/>
          <w:color w:val="000000"/>
          <w:sz w:val="20"/>
          <w:szCs w:val="20"/>
          <w:lang w:val="en-US"/>
        </w:rPr>
      </w:pPr>
      <w:r w:rsidRPr="006D7A4C">
        <w:rPr>
          <w:rFonts w:ascii="Arial" w:eastAsia="Calibri" w:hAnsi="Arial" w:cs="Arial"/>
          <w:b/>
          <w:bCs/>
          <w:color w:val="000000"/>
          <w:sz w:val="20"/>
          <w:szCs w:val="20"/>
          <w:lang w:val="en-US"/>
        </w:rPr>
        <w:t>Dominik Hatiar - Regulatory Policy Advisor</w:t>
      </w:r>
      <w:r>
        <w:rPr>
          <w:rFonts w:ascii="Arial" w:eastAsia="Calibri" w:hAnsi="Arial" w:cs="Arial"/>
          <w:b/>
          <w:bCs/>
          <w:color w:val="000000"/>
          <w:sz w:val="20"/>
          <w:szCs w:val="20"/>
          <w:lang w:val="en-US"/>
        </w:rPr>
        <w:t xml:space="preserve"> comments: “</w:t>
      </w:r>
      <w:r w:rsidR="00127E69">
        <w:rPr>
          <w:rFonts w:ascii="Arial" w:eastAsia="Calibri" w:hAnsi="Arial" w:cs="Arial"/>
          <w:i/>
          <w:iCs/>
          <w:color w:val="000000"/>
          <w:sz w:val="20"/>
          <w:szCs w:val="20"/>
          <w:lang w:val="en-US"/>
        </w:rPr>
        <w:t>If t</w:t>
      </w:r>
      <w:r w:rsidR="00D1104B">
        <w:rPr>
          <w:rFonts w:ascii="Arial" w:eastAsia="Calibri" w:hAnsi="Arial" w:cs="Arial"/>
          <w:i/>
          <w:iCs/>
          <w:color w:val="000000"/>
          <w:sz w:val="20"/>
          <w:szCs w:val="20"/>
          <w:lang w:val="en-US"/>
        </w:rPr>
        <w:t xml:space="preserve">he </w:t>
      </w:r>
      <w:r w:rsidRPr="006D7A4C">
        <w:rPr>
          <w:rFonts w:ascii="Arial" w:eastAsia="Calibri" w:hAnsi="Arial" w:cs="Arial"/>
          <w:i/>
          <w:iCs/>
          <w:color w:val="000000"/>
          <w:sz w:val="20"/>
          <w:szCs w:val="20"/>
          <w:lang w:val="en-US"/>
        </w:rPr>
        <w:t xml:space="preserve"> </w:t>
      </w:r>
      <w:r w:rsidR="00326EFD">
        <w:rPr>
          <w:rFonts w:ascii="Arial" w:eastAsia="Calibri" w:hAnsi="Arial" w:cs="Arial"/>
          <w:i/>
          <w:iCs/>
          <w:color w:val="000000"/>
          <w:sz w:val="20"/>
          <w:szCs w:val="20"/>
          <w:lang w:val="en-US"/>
        </w:rPr>
        <w:t xml:space="preserve">ESS </w:t>
      </w:r>
      <w:r w:rsidR="006C3658">
        <w:rPr>
          <w:rFonts w:ascii="Arial" w:eastAsia="Calibri" w:hAnsi="Arial" w:cs="Arial"/>
          <w:i/>
          <w:iCs/>
          <w:color w:val="000000"/>
          <w:sz w:val="20"/>
          <w:szCs w:val="20"/>
          <w:lang w:val="en-US"/>
        </w:rPr>
        <w:t xml:space="preserve">company </w:t>
      </w:r>
      <w:r w:rsidRPr="006D7A4C">
        <w:rPr>
          <w:rFonts w:ascii="Arial" w:eastAsia="Calibri" w:hAnsi="Arial" w:cs="Arial"/>
          <w:i/>
          <w:iCs/>
          <w:color w:val="000000"/>
          <w:sz w:val="20"/>
          <w:szCs w:val="20"/>
          <w:lang w:val="en-US"/>
        </w:rPr>
        <w:t>disclosures become available in 2024 [based on the financial year 2023], financial institutions will</w:t>
      </w:r>
      <w:r w:rsidR="00127E69">
        <w:rPr>
          <w:rFonts w:ascii="Arial" w:eastAsia="Calibri" w:hAnsi="Arial" w:cs="Arial"/>
          <w:i/>
          <w:iCs/>
          <w:color w:val="000000"/>
          <w:sz w:val="20"/>
          <w:szCs w:val="20"/>
          <w:lang w:val="en-US"/>
        </w:rPr>
        <w:t xml:space="preserve"> still</w:t>
      </w:r>
      <w:r w:rsidRPr="006D7A4C">
        <w:rPr>
          <w:rFonts w:ascii="Arial" w:eastAsia="Calibri" w:hAnsi="Arial" w:cs="Arial"/>
          <w:i/>
          <w:iCs/>
          <w:color w:val="000000"/>
          <w:sz w:val="20"/>
          <w:szCs w:val="20"/>
          <w:lang w:val="en-US"/>
        </w:rPr>
        <w:t xml:space="preserve"> face a two-year ESG information gap for their own sustainability reporting obligations under the Taxonomy</w:t>
      </w:r>
      <w:r w:rsidR="00915802">
        <w:rPr>
          <w:rFonts w:ascii="Arial" w:eastAsia="Calibri" w:hAnsi="Arial" w:cs="Arial"/>
          <w:i/>
          <w:iCs/>
          <w:color w:val="000000"/>
          <w:sz w:val="20"/>
          <w:szCs w:val="20"/>
          <w:lang w:val="en-US"/>
        </w:rPr>
        <w:t xml:space="preserve"> green asset ratios</w:t>
      </w:r>
      <w:r w:rsidRPr="006D7A4C">
        <w:rPr>
          <w:rFonts w:ascii="Arial" w:eastAsia="Calibri" w:hAnsi="Arial" w:cs="Arial"/>
          <w:i/>
          <w:iCs/>
          <w:color w:val="000000"/>
          <w:sz w:val="20"/>
          <w:szCs w:val="20"/>
          <w:lang w:val="en-US"/>
        </w:rPr>
        <w:t xml:space="preserve"> </w:t>
      </w:r>
      <w:r w:rsidRPr="006D7A4C">
        <w:rPr>
          <w:rFonts w:ascii="Arial" w:eastAsia="Calibri" w:hAnsi="Arial" w:cs="Arial"/>
          <w:i/>
          <w:iCs/>
          <w:color w:val="000000"/>
          <w:sz w:val="20"/>
          <w:szCs w:val="20"/>
          <w:lang w:val="en-US"/>
        </w:rPr>
        <w:lastRenderedPageBreak/>
        <w:t>and Level 2 SFDR, which apply as of 1 January 2022.  Therefore, the NFRD review needs to be completed as swiftly as possible”.</w:t>
      </w:r>
      <w:r w:rsidRPr="006D7A4C">
        <w:rPr>
          <w:rFonts w:ascii="Arial" w:eastAsia="Calibri" w:hAnsi="Arial" w:cs="Arial"/>
          <w:b/>
          <w:bCs/>
          <w:color w:val="000000"/>
          <w:sz w:val="20"/>
          <w:szCs w:val="20"/>
          <w:lang w:val="en-US"/>
        </w:rPr>
        <w:t xml:space="preserve">  </w:t>
      </w:r>
    </w:p>
    <w:p w14:paraId="2BC95650" w14:textId="4FC1BBEA" w:rsidR="009544E7" w:rsidRPr="0091423E" w:rsidRDefault="009544E7" w:rsidP="006D7A4C">
      <w:pPr>
        <w:rPr>
          <w:rFonts w:ascii="Arial" w:eastAsia="Calibri" w:hAnsi="Arial" w:cs="Arial"/>
          <w:i/>
          <w:iCs/>
          <w:color w:val="000000"/>
          <w:sz w:val="20"/>
          <w:szCs w:val="20"/>
          <w:lang w:val="en-US"/>
        </w:rPr>
      </w:pPr>
      <w:r w:rsidRPr="0091423E">
        <w:rPr>
          <w:rFonts w:ascii="Arial" w:eastAsia="Calibri" w:hAnsi="Arial" w:cs="Arial"/>
          <w:i/>
          <w:color w:val="000000" w:themeColor="text1"/>
          <w:sz w:val="20"/>
          <w:szCs w:val="20"/>
          <w:lang w:val="en-US"/>
        </w:rPr>
        <w:t>“EU</w:t>
      </w:r>
      <w:r w:rsidR="008E7337" w:rsidRPr="1CBE7356">
        <w:rPr>
          <w:rFonts w:ascii="Arial" w:eastAsia="Calibri" w:hAnsi="Arial" w:cs="Arial"/>
          <w:i/>
          <w:color w:val="000000" w:themeColor="text1"/>
          <w:sz w:val="20"/>
          <w:szCs w:val="20"/>
          <w:lang w:val="en-US"/>
        </w:rPr>
        <w:t>´s</w:t>
      </w:r>
      <w:r w:rsidRPr="0091423E">
        <w:rPr>
          <w:rFonts w:ascii="Arial" w:eastAsia="Calibri" w:hAnsi="Arial" w:cs="Arial"/>
          <w:i/>
          <w:color w:val="000000" w:themeColor="text1"/>
          <w:sz w:val="20"/>
          <w:szCs w:val="20"/>
          <w:lang w:val="en-US"/>
        </w:rPr>
        <w:t xml:space="preserve"> sustainability disclosure ecosystem should drive cooperation towards a globally accepted system by leveraging alignment with existing, highly relevant frameworks, such as SASB and TCFD”.</w:t>
      </w:r>
    </w:p>
    <w:p w14:paraId="36C41D05" w14:textId="7257C263" w:rsidR="006D7A4C" w:rsidRPr="006D7A4C" w:rsidRDefault="006D7A4C" w:rsidP="006D7A4C">
      <w:pPr>
        <w:rPr>
          <w:rFonts w:ascii="Arial" w:eastAsia="Calibri" w:hAnsi="Arial" w:cs="Arial"/>
          <w:color w:val="000000"/>
          <w:sz w:val="20"/>
          <w:szCs w:val="20"/>
        </w:rPr>
      </w:pPr>
      <w:r w:rsidRPr="006D7A4C">
        <w:rPr>
          <w:rFonts w:ascii="Arial" w:eastAsia="Calibri" w:hAnsi="Arial" w:cs="Arial"/>
          <w:color w:val="000000"/>
          <w:sz w:val="20"/>
          <w:szCs w:val="20"/>
        </w:rPr>
        <w:t xml:space="preserve">EFAMA believes that ESS are </w:t>
      </w:r>
      <w:r w:rsidR="0028039D">
        <w:rPr>
          <w:rFonts w:ascii="Arial" w:eastAsia="Calibri" w:hAnsi="Arial" w:cs="Arial"/>
          <w:color w:val="000000"/>
          <w:sz w:val="20"/>
          <w:szCs w:val="20"/>
        </w:rPr>
        <w:t>essential</w:t>
      </w:r>
      <w:r w:rsidRPr="006D7A4C">
        <w:rPr>
          <w:rFonts w:ascii="Arial" w:eastAsia="Calibri" w:hAnsi="Arial" w:cs="Arial"/>
          <w:color w:val="000000"/>
          <w:sz w:val="20"/>
          <w:szCs w:val="20"/>
        </w:rPr>
        <w:t xml:space="preserve"> to the achievement of the EU´s Green Deal objectives and evolving sustainable finance policies, and at the same time, drive cooperation towards convergence behind a global sustainability reporting architecture.  </w:t>
      </w:r>
    </w:p>
    <w:p w14:paraId="021EA952" w14:textId="6D52536D" w:rsidR="008A182A" w:rsidRPr="00A41F1C" w:rsidRDefault="008A182A" w:rsidP="00A41F1C">
      <w:pPr>
        <w:shd w:val="clear" w:color="auto" w:fill="FFFFFF"/>
        <w:spacing w:after="0" w:line="240" w:lineRule="exact"/>
        <w:rPr>
          <w:rFonts w:ascii="Arial" w:eastAsia="Times New Roman" w:hAnsi="Arial" w:cs="Arial"/>
          <w:b/>
          <w:bCs/>
          <w:color w:val="000000" w:themeColor="text1"/>
          <w:sz w:val="20"/>
          <w:szCs w:val="20"/>
          <w:u w:val="single"/>
        </w:rPr>
      </w:pPr>
    </w:p>
    <w:p w14:paraId="553175F8" w14:textId="06C92DB7" w:rsidR="00B75ABC" w:rsidRPr="006D7A4C" w:rsidRDefault="00B75ABC" w:rsidP="006D7A4C">
      <w:pPr>
        <w:spacing w:after="0" w:line="276" w:lineRule="auto"/>
        <w:jc w:val="center"/>
        <w:rPr>
          <w:rFonts w:ascii="Arial" w:eastAsia="Calibri" w:hAnsi="Arial" w:cs="Arial"/>
          <w:b/>
          <w:bCs/>
          <w:lang w:eastAsia="en-GB"/>
        </w:rPr>
      </w:pPr>
      <w:r w:rsidRPr="00B75ABC">
        <w:rPr>
          <w:rFonts w:ascii="Arial" w:eastAsia="Calibri" w:hAnsi="Arial" w:cs="Arial"/>
          <w:b/>
          <w:bCs/>
          <w:lang w:eastAsia="en-GB"/>
        </w:rPr>
        <w:t>– Ends –</w:t>
      </w:r>
    </w:p>
    <w:p w14:paraId="049C6716" w14:textId="77777777" w:rsidR="00155582" w:rsidRPr="00155582" w:rsidRDefault="00155582" w:rsidP="00155582">
      <w:pPr>
        <w:spacing w:after="0" w:line="280" w:lineRule="exact"/>
        <w:jc w:val="both"/>
        <w:rPr>
          <w:rFonts w:ascii="Arial" w:eastAsia="Calibri" w:hAnsi="Arial" w:cs="Arial"/>
          <w:b/>
          <w:bCs/>
          <w:color w:val="000000"/>
          <w:sz w:val="20"/>
          <w:szCs w:val="20"/>
        </w:rPr>
      </w:pPr>
      <w:r w:rsidRPr="00155582">
        <w:rPr>
          <w:rFonts w:ascii="Arial" w:eastAsia="Calibri" w:hAnsi="Arial" w:cs="Arial"/>
          <w:b/>
          <w:bCs/>
          <w:color w:val="000000"/>
          <w:sz w:val="20"/>
          <w:szCs w:val="20"/>
        </w:rPr>
        <w:t>For further information, please contact:</w:t>
      </w:r>
    </w:p>
    <w:p w14:paraId="7F2B5B41" w14:textId="77777777" w:rsidR="00155582" w:rsidRPr="00155582" w:rsidRDefault="00155582" w:rsidP="00155582">
      <w:pPr>
        <w:spacing w:after="0" w:line="280" w:lineRule="exact"/>
        <w:jc w:val="both"/>
        <w:rPr>
          <w:rFonts w:ascii="Arial" w:eastAsia="Calibri" w:hAnsi="Arial" w:cs="Arial"/>
          <w:color w:val="000000"/>
          <w:sz w:val="20"/>
          <w:szCs w:val="20"/>
        </w:rPr>
      </w:pPr>
    </w:p>
    <w:p w14:paraId="3D58C985" w14:textId="77777777" w:rsidR="00155582" w:rsidRPr="0091423E" w:rsidRDefault="00155582" w:rsidP="00155582">
      <w:pPr>
        <w:spacing w:after="0" w:line="280" w:lineRule="exact"/>
        <w:jc w:val="both"/>
        <w:rPr>
          <w:rFonts w:ascii="Arial" w:eastAsia="Calibri" w:hAnsi="Arial" w:cs="Arial"/>
          <w:color w:val="000000"/>
          <w:sz w:val="20"/>
          <w:szCs w:val="20"/>
          <w:lang w:val="en-US"/>
        </w:rPr>
      </w:pPr>
      <w:r w:rsidRPr="0091423E">
        <w:rPr>
          <w:rFonts w:ascii="Arial" w:eastAsia="Calibri" w:hAnsi="Arial" w:cs="Arial"/>
          <w:color w:val="000000"/>
          <w:sz w:val="20"/>
          <w:szCs w:val="20"/>
          <w:lang w:val="en-US"/>
        </w:rPr>
        <w:t>Brandon Bhatti</w:t>
      </w:r>
    </w:p>
    <w:p w14:paraId="1237C55E" w14:textId="77777777" w:rsidR="00155582" w:rsidRPr="0091423E" w:rsidRDefault="00155582" w:rsidP="00155582">
      <w:pPr>
        <w:spacing w:after="0" w:line="280" w:lineRule="exact"/>
        <w:jc w:val="both"/>
        <w:rPr>
          <w:rFonts w:ascii="Arial" w:eastAsia="Calibri" w:hAnsi="Arial" w:cs="Arial"/>
          <w:color w:val="000000"/>
          <w:sz w:val="20"/>
          <w:szCs w:val="20"/>
          <w:lang w:val="en-US"/>
        </w:rPr>
      </w:pPr>
      <w:r w:rsidRPr="0091423E">
        <w:rPr>
          <w:rFonts w:ascii="Arial" w:eastAsia="Calibri" w:hAnsi="Arial" w:cs="Arial"/>
          <w:color w:val="000000"/>
          <w:sz w:val="20"/>
          <w:szCs w:val="20"/>
          <w:lang w:val="en-US"/>
        </w:rPr>
        <w:t>Hume Brophy</w:t>
      </w:r>
    </w:p>
    <w:p w14:paraId="009B56A8" w14:textId="77777777" w:rsidR="00155582" w:rsidRPr="0091423E" w:rsidRDefault="00582DE1" w:rsidP="00155582">
      <w:pPr>
        <w:spacing w:after="0" w:line="280" w:lineRule="exact"/>
        <w:jc w:val="both"/>
        <w:rPr>
          <w:rFonts w:ascii="Arial" w:eastAsia="Calibri" w:hAnsi="Arial" w:cs="Arial"/>
          <w:color w:val="000000"/>
          <w:sz w:val="20"/>
          <w:szCs w:val="20"/>
          <w:lang w:val="en-US"/>
        </w:rPr>
      </w:pPr>
      <w:hyperlink r:id="rId8" w:history="1">
        <w:r w:rsidR="00155582" w:rsidRPr="0091423E">
          <w:rPr>
            <w:rFonts w:ascii="Arial" w:eastAsia="Calibri" w:hAnsi="Arial" w:cs="Arial"/>
            <w:color w:val="0563C1"/>
            <w:sz w:val="20"/>
            <w:szCs w:val="20"/>
            <w:u w:val="single"/>
            <w:lang w:val="en-US"/>
          </w:rPr>
          <w:t>Efamapr@humebrophy.com</w:t>
        </w:r>
      </w:hyperlink>
      <w:r w:rsidR="00155582" w:rsidRPr="0091423E">
        <w:rPr>
          <w:rFonts w:ascii="Arial" w:eastAsia="Calibri" w:hAnsi="Arial" w:cs="Arial"/>
          <w:color w:val="000000"/>
          <w:sz w:val="20"/>
          <w:szCs w:val="20"/>
          <w:lang w:val="en-US"/>
        </w:rPr>
        <w:t xml:space="preserve"> </w:t>
      </w:r>
    </w:p>
    <w:p w14:paraId="625824A6" w14:textId="77777777" w:rsidR="00155582" w:rsidRPr="0091423E" w:rsidRDefault="00155582" w:rsidP="00155582">
      <w:pPr>
        <w:spacing w:after="0" w:line="280" w:lineRule="exact"/>
        <w:jc w:val="both"/>
        <w:rPr>
          <w:rFonts w:ascii="Arial" w:eastAsia="Calibri" w:hAnsi="Arial" w:cs="Arial"/>
          <w:color w:val="000000"/>
          <w:sz w:val="20"/>
          <w:szCs w:val="20"/>
          <w:lang w:val="en-US"/>
        </w:rPr>
      </w:pPr>
    </w:p>
    <w:p w14:paraId="6A82E84B" w14:textId="77777777" w:rsidR="00155582" w:rsidRPr="0091423E" w:rsidRDefault="00155582" w:rsidP="00155582">
      <w:pPr>
        <w:spacing w:after="0" w:line="280" w:lineRule="exact"/>
        <w:jc w:val="both"/>
        <w:rPr>
          <w:rFonts w:ascii="Arial" w:eastAsia="Calibri" w:hAnsi="Arial" w:cs="Arial"/>
          <w:color w:val="000000"/>
          <w:sz w:val="20"/>
          <w:szCs w:val="20"/>
          <w:lang w:val="en-US"/>
        </w:rPr>
      </w:pPr>
      <w:r w:rsidRPr="0091423E">
        <w:rPr>
          <w:rFonts w:ascii="Arial" w:eastAsia="Calibri" w:hAnsi="Arial" w:cs="Arial"/>
          <w:color w:val="000000"/>
          <w:sz w:val="20"/>
          <w:szCs w:val="20"/>
          <w:lang w:val="en-US"/>
        </w:rPr>
        <w:t xml:space="preserve">Daniela Haiduc                                                  </w:t>
      </w:r>
    </w:p>
    <w:p w14:paraId="3B167171" w14:textId="77777777" w:rsidR="00155582" w:rsidRPr="00155582" w:rsidRDefault="00155582" w:rsidP="00155582">
      <w:pPr>
        <w:spacing w:after="0" w:line="280" w:lineRule="exact"/>
        <w:jc w:val="both"/>
        <w:rPr>
          <w:rFonts w:ascii="Arial" w:eastAsia="Calibri" w:hAnsi="Arial" w:cs="Arial"/>
          <w:color w:val="000000"/>
          <w:sz w:val="20"/>
          <w:szCs w:val="20"/>
          <w:lang w:val="en-US"/>
        </w:rPr>
      </w:pPr>
      <w:r w:rsidRPr="00155582">
        <w:rPr>
          <w:rFonts w:ascii="Arial" w:eastAsia="Calibri" w:hAnsi="Arial" w:cs="Arial"/>
          <w:color w:val="000000"/>
          <w:sz w:val="20"/>
          <w:szCs w:val="20"/>
          <w:lang w:val="en-US"/>
        </w:rPr>
        <w:t xml:space="preserve">Head of Communications                                               </w:t>
      </w:r>
    </w:p>
    <w:p w14:paraId="670AE0FA" w14:textId="77777777" w:rsidR="00155582" w:rsidRPr="00155582" w:rsidRDefault="00155582" w:rsidP="00155582">
      <w:pPr>
        <w:spacing w:after="0" w:line="280" w:lineRule="exact"/>
        <w:rPr>
          <w:rFonts w:ascii="Arial" w:eastAsia="Calibri" w:hAnsi="Arial" w:cs="Arial"/>
          <w:color w:val="000000"/>
          <w:sz w:val="20"/>
          <w:szCs w:val="20"/>
          <w:lang w:val="en-US"/>
        </w:rPr>
      </w:pPr>
      <w:r w:rsidRPr="00155582">
        <w:rPr>
          <w:rFonts w:ascii="Arial" w:eastAsia="Calibri" w:hAnsi="Arial" w:cs="Arial"/>
          <w:color w:val="000000"/>
          <w:sz w:val="20"/>
          <w:szCs w:val="20"/>
          <w:lang w:val="en-US"/>
        </w:rPr>
        <w:t xml:space="preserve">+32-2-473 562 936                                                                                </w:t>
      </w:r>
    </w:p>
    <w:p w14:paraId="2765CA5D" w14:textId="77777777" w:rsidR="00155582" w:rsidRPr="00155582" w:rsidRDefault="00155582" w:rsidP="00155582">
      <w:pPr>
        <w:spacing w:after="0" w:line="240" w:lineRule="auto"/>
        <w:rPr>
          <w:rFonts w:ascii="Arial" w:eastAsia="Calibri" w:hAnsi="Arial" w:cs="Arial"/>
          <w:sz w:val="20"/>
          <w:szCs w:val="20"/>
        </w:rPr>
      </w:pPr>
      <w:r w:rsidRPr="00155582">
        <w:rPr>
          <w:rFonts w:ascii="Arial" w:eastAsia="Calibri" w:hAnsi="Arial" w:cs="Arial"/>
          <w:sz w:val="20"/>
          <w:szCs w:val="20"/>
          <w:lang w:val="en-US"/>
        </w:rPr>
        <w:t xml:space="preserve">cc: </w:t>
      </w:r>
      <w:hyperlink r:id="rId9" w:history="1">
        <w:r w:rsidRPr="00155582">
          <w:rPr>
            <w:rFonts w:ascii="Arial" w:eastAsia="Calibri" w:hAnsi="Arial" w:cs="Arial"/>
            <w:color w:val="0000FF"/>
            <w:sz w:val="20"/>
            <w:szCs w:val="20"/>
            <w:u w:val="single"/>
            <w:lang w:val="en-US"/>
          </w:rPr>
          <w:t>info@efama.org</w:t>
        </w:r>
      </w:hyperlink>
      <w:r w:rsidRPr="00155582">
        <w:rPr>
          <w:rFonts w:ascii="Arial" w:eastAsia="Calibri" w:hAnsi="Arial" w:cs="Arial"/>
          <w:sz w:val="20"/>
          <w:szCs w:val="20"/>
          <w:lang w:val="en-US"/>
        </w:rPr>
        <w:t xml:space="preserve">                                           </w:t>
      </w:r>
    </w:p>
    <w:p w14:paraId="70C34878" w14:textId="77777777" w:rsidR="00A41F1C" w:rsidRDefault="00A41F1C" w:rsidP="005D7253">
      <w:pPr>
        <w:spacing w:after="0" w:line="276" w:lineRule="auto"/>
        <w:jc w:val="both"/>
        <w:rPr>
          <w:rFonts w:ascii="Arial" w:eastAsia="Calibri" w:hAnsi="Arial" w:cs="Arial"/>
          <w:b/>
          <w:bCs/>
          <w:sz w:val="20"/>
          <w:szCs w:val="20"/>
          <w:lang w:eastAsia="en-GB"/>
        </w:rPr>
      </w:pPr>
    </w:p>
    <w:p w14:paraId="6927F46E" w14:textId="0C45E733" w:rsidR="00B75ABC" w:rsidRPr="00A41F1C" w:rsidRDefault="00B75ABC" w:rsidP="00A41F1C">
      <w:pPr>
        <w:spacing w:after="0" w:line="240" w:lineRule="exact"/>
        <w:jc w:val="both"/>
        <w:rPr>
          <w:rFonts w:ascii="Arial" w:eastAsia="Calibri" w:hAnsi="Arial" w:cs="Arial"/>
          <w:b/>
          <w:bCs/>
          <w:sz w:val="20"/>
          <w:szCs w:val="20"/>
          <w:lang w:eastAsia="en-GB"/>
        </w:rPr>
      </w:pPr>
      <w:r w:rsidRPr="00A41F1C">
        <w:rPr>
          <w:rFonts w:ascii="Arial" w:eastAsia="Calibri" w:hAnsi="Arial" w:cs="Arial"/>
          <w:b/>
          <w:bCs/>
          <w:sz w:val="20"/>
          <w:szCs w:val="20"/>
          <w:lang w:eastAsia="en-GB"/>
        </w:rPr>
        <w:t>Notes to editors:</w:t>
      </w:r>
    </w:p>
    <w:p w14:paraId="3CD917B2" w14:textId="77777777" w:rsidR="00B75ABC" w:rsidRPr="00A41F1C" w:rsidRDefault="00B75ABC" w:rsidP="00A41F1C">
      <w:pPr>
        <w:spacing w:after="0" w:line="240" w:lineRule="exact"/>
        <w:jc w:val="both"/>
        <w:rPr>
          <w:rFonts w:ascii="Arial" w:eastAsia="Calibri" w:hAnsi="Arial" w:cs="Arial"/>
          <w:b/>
          <w:bCs/>
          <w:sz w:val="20"/>
          <w:szCs w:val="20"/>
          <w:lang w:eastAsia="en-GB"/>
        </w:rPr>
      </w:pPr>
    </w:p>
    <w:p w14:paraId="3F703481" w14:textId="77777777" w:rsidR="00155582" w:rsidRPr="00155582" w:rsidRDefault="00155582" w:rsidP="00155582">
      <w:pPr>
        <w:spacing w:after="0" w:line="300" w:lineRule="exact"/>
        <w:jc w:val="both"/>
        <w:rPr>
          <w:rFonts w:ascii="Arial" w:eastAsia="Calibri" w:hAnsi="Arial" w:cs="Arial"/>
          <w:sz w:val="20"/>
          <w:szCs w:val="20"/>
        </w:rPr>
      </w:pPr>
      <w:r w:rsidRPr="00155582">
        <w:rPr>
          <w:rFonts w:ascii="Arial" w:eastAsia="Calibri" w:hAnsi="Arial" w:cs="Arial"/>
          <w:b/>
          <w:bCs/>
          <w:sz w:val="20"/>
          <w:szCs w:val="20"/>
        </w:rPr>
        <w:t>About the European Fund and Asset Management Association (EFAMA)</w:t>
      </w:r>
    </w:p>
    <w:p w14:paraId="4E9B195F" w14:textId="77777777" w:rsidR="00155582" w:rsidRPr="00155582" w:rsidRDefault="00155582" w:rsidP="00155582">
      <w:pPr>
        <w:spacing w:after="0" w:line="300" w:lineRule="exact"/>
        <w:jc w:val="both"/>
        <w:rPr>
          <w:rFonts w:ascii="Arial" w:eastAsia="Calibri" w:hAnsi="Arial" w:cs="Arial"/>
          <w:color w:val="000000"/>
          <w:sz w:val="20"/>
          <w:szCs w:val="20"/>
        </w:rPr>
      </w:pPr>
    </w:p>
    <w:p w14:paraId="2F29298E" w14:textId="77777777" w:rsidR="00155582" w:rsidRPr="00155582" w:rsidRDefault="00155582" w:rsidP="00A13569">
      <w:pPr>
        <w:shd w:val="clear" w:color="auto" w:fill="FFFFFF"/>
        <w:spacing w:after="0" w:line="240" w:lineRule="exact"/>
        <w:jc w:val="both"/>
        <w:rPr>
          <w:rFonts w:ascii="Arial" w:eastAsia="Calibri" w:hAnsi="Arial" w:cs="Arial"/>
          <w:color w:val="000000"/>
          <w:sz w:val="20"/>
          <w:szCs w:val="20"/>
          <w:lang w:val="en-US"/>
        </w:rPr>
      </w:pPr>
      <w:r w:rsidRPr="00155582">
        <w:rPr>
          <w:rFonts w:ascii="Arial" w:eastAsia="Calibri" w:hAnsi="Arial" w:cs="Arial"/>
          <w:color w:val="000000"/>
          <w:sz w:val="20"/>
          <w:szCs w:val="20"/>
        </w:rPr>
        <w:t xml:space="preserve">EFAMA, the voice of the European investment management industry, represents 28 member associations, 57 corporate members and 23 Associate Members. At end Q3 2020, total net assets of European investment funds reached EUR 17.6 trillion.  These assets were managed by more than 34,200 UCITS (Undertakings for Collective Investments in Transferable Securities) and almost 29,400 AIFs (Alternative Investment Funds).  At the end of Q2 2020, asset managed by European asset managers as investment funds and discretionary mandates amounted to an estimated EUR 24.9 trillion.  More information available at  </w:t>
      </w:r>
      <w:hyperlink r:id="rId10" w:history="1">
        <w:r w:rsidRPr="00155582">
          <w:rPr>
            <w:rFonts w:ascii="Arial" w:eastAsia="Calibri" w:hAnsi="Arial" w:cs="Arial"/>
            <w:color w:val="0563C1"/>
            <w:sz w:val="20"/>
            <w:szCs w:val="20"/>
            <w:u w:val="single"/>
          </w:rPr>
          <w:t>www.efama.org</w:t>
        </w:r>
      </w:hyperlink>
      <w:r w:rsidRPr="00155582">
        <w:rPr>
          <w:rFonts w:ascii="Arial" w:eastAsia="Calibri" w:hAnsi="Arial" w:cs="Arial"/>
          <w:color w:val="000000"/>
          <w:sz w:val="20"/>
          <w:szCs w:val="20"/>
        </w:rPr>
        <w:t>.</w:t>
      </w:r>
    </w:p>
    <w:p w14:paraId="2D3B6A74" w14:textId="77777777" w:rsidR="00B75ABC" w:rsidRPr="00A41F1C" w:rsidRDefault="00B75ABC" w:rsidP="00A41F1C">
      <w:pPr>
        <w:spacing w:after="0" w:line="240" w:lineRule="exact"/>
        <w:rPr>
          <w:rFonts w:ascii="Arial" w:hAnsi="Arial" w:cs="Arial"/>
          <w:sz w:val="20"/>
          <w:szCs w:val="20"/>
        </w:rPr>
      </w:pPr>
    </w:p>
    <w:sectPr w:rsidR="00B75ABC" w:rsidRPr="00A41F1C" w:rsidSect="00DF6710">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3019F" w14:textId="77777777" w:rsidR="00582DE1" w:rsidRDefault="00582DE1" w:rsidP="00B75ABC">
      <w:pPr>
        <w:spacing w:after="0" w:line="240" w:lineRule="auto"/>
      </w:pPr>
      <w:r>
        <w:separator/>
      </w:r>
    </w:p>
  </w:endnote>
  <w:endnote w:type="continuationSeparator" w:id="0">
    <w:p w14:paraId="32E4658D" w14:textId="77777777" w:rsidR="00582DE1" w:rsidRDefault="00582DE1" w:rsidP="00B75ABC">
      <w:pPr>
        <w:spacing w:after="0" w:line="240" w:lineRule="auto"/>
      </w:pPr>
      <w:r>
        <w:continuationSeparator/>
      </w:r>
    </w:p>
  </w:endnote>
  <w:endnote w:type="continuationNotice" w:id="1">
    <w:p w14:paraId="6F76E007" w14:textId="77777777" w:rsidR="00582DE1" w:rsidRDefault="00582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9BA15" w14:textId="77777777" w:rsidR="00582DE1" w:rsidRDefault="00582DE1" w:rsidP="00B75ABC">
      <w:pPr>
        <w:spacing w:after="0" w:line="240" w:lineRule="auto"/>
      </w:pPr>
      <w:r>
        <w:separator/>
      </w:r>
    </w:p>
  </w:footnote>
  <w:footnote w:type="continuationSeparator" w:id="0">
    <w:p w14:paraId="1A6453E0" w14:textId="77777777" w:rsidR="00582DE1" w:rsidRDefault="00582DE1" w:rsidP="00B75ABC">
      <w:pPr>
        <w:spacing w:after="0" w:line="240" w:lineRule="auto"/>
      </w:pPr>
      <w:r>
        <w:continuationSeparator/>
      </w:r>
    </w:p>
  </w:footnote>
  <w:footnote w:type="continuationNotice" w:id="1">
    <w:p w14:paraId="119BCACD" w14:textId="77777777" w:rsidR="00582DE1" w:rsidRDefault="00582D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FCDEE6"/>
    <w:multiLevelType w:val="hybridMultilevel"/>
    <w:tmpl w:val="7A675A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3CE2B0"/>
    <w:multiLevelType w:val="hybridMultilevel"/>
    <w:tmpl w:val="D3A65D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1C95F7"/>
    <w:multiLevelType w:val="hybridMultilevel"/>
    <w:tmpl w:val="A372EC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56DA8"/>
    <w:multiLevelType w:val="multilevel"/>
    <w:tmpl w:val="0DD4E7E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01CF7689"/>
    <w:multiLevelType w:val="hybridMultilevel"/>
    <w:tmpl w:val="C44D2B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F96CF2"/>
    <w:multiLevelType w:val="hybridMultilevel"/>
    <w:tmpl w:val="AB2A163A"/>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46C3A33"/>
    <w:multiLevelType w:val="hybridMultilevel"/>
    <w:tmpl w:val="FD9E2FF6"/>
    <w:lvl w:ilvl="0" w:tplc="2000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77E323"/>
    <w:multiLevelType w:val="hybridMultilevel"/>
    <w:tmpl w:val="1768FD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8D8F5C"/>
    <w:multiLevelType w:val="hybridMultilevel"/>
    <w:tmpl w:val="FCD0DE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669D51"/>
    <w:multiLevelType w:val="hybridMultilevel"/>
    <w:tmpl w:val="20FA5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D07BA0"/>
    <w:multiLevelType w:val="multilevel"/>
    <w:tmpl w:val="02528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416012"/>
    <w:multiLevelType w:val="hybridMultilevel"/>
    <w:tmpl w:val="9660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A5D76"/>
    <w:multiLevelType w:val="hybridMultilevel"/>
    <w:tmpl w:val="127015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AF5CC9"/>
    <w:multiLevelType w:val="hybridMultilevel"/>
    <w:tmpl w:val="49F8EB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6510C2"/>
    <w:multiLevelType w:val="hybridMultilevel"/>
    <w:tmpl w:val="833D0E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E23223"/>
    <w:multiLevelType w:val="hybridMultilevel"/>
    <w:tmpl w:val="6A78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600B0"/>
    <w:multiLevelType w:val="hybridMultilevel"/>
    <w:tmpl w:val="F698C9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309448BE"/>
    <w:multiLevelType w:val="hybridMultilevel"/>
    <w:tmpl w:val="A3C6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236F3"/>
    <w:multiLevelType w:val="hybridMultilevel"/>
    <w:tmpl w:val="F8E4E730"/>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9" w15:restartNumberingAfterBreak="0">
    <w:nsid w:val="39B811EE"/>
    <w:multiLevelType w:val="hybridMultilevel"/>
    <w:tmpl w:val="232EE55E"/>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39EE1D8F"/>
    <w:multiLevelType w:val="multilevel"/>
    <w:tmpl w:val="7A488F0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3D73D7A7"/>
    <w:multiLevelType w:val="hybridMultilevel"/>
    <w:tmpl w:val="88F158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876074"/>
    <w:multiLevelType w:val="multilevel"/>
    <w:tmpl w:val="06683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B660BC"/>
    <w:multiLevelType w:val="multilevel"/>
    <w:tmpl w:val="AE00C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3354F2"/>
    <w:multiLevelType w:val="hybridMultilevel"/>
    <w:tmpl w:val="066989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0D458AB"/>
    <w:multiLevelType w:val="hybridMultilevel"/>
    <w:tmpl w:val="D2FE0CC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CE874"/>
    <w:multiLevelType w:val="hybridMultilevel"/>
    <w:tmpl w:val="A850E0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4577088"/>
    <w:multiLevelType w:val="hybridMultilevel"/>
    <w:tmpl w:val="C28647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4E0C5B4A"/>
    <w:multiLevelType w:val="hybridMultilevel"/>
    <w:tmpl w:val="D2E6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035F2"/>
    <w:multiLevelType w:val="hybridMultilevel"/>
    <w:tmpl w:val="A17C921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05AF9"/>
    <w:multiLevelType w:val="multilevel"/>
    <w:tmpl w:val="BC988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83468F"/>
    <w:multiLevelType w:val="hybridMultilevel"/>
    <w:tmpl w:val="AAEA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F5C72"/>
    <w:multiLevelType w:val="hybridMultilevel"/>
    <w:tmpl w:val="BB10D7F2"/>
    <w:lvl w:ilvl="0" w:tplc="2000000D">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09E65F9"/>
    <w:multiLevelType w:val="hybridMultilevel"/>
    <w:tmpl w:val="83B229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BE00BE"/>
    <w:multiLevelType w:val="hybridMultilevel"/>
    <w:tmpl w:val="5EBE3D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6374C8"/>
    <w:multiLevelType w:val="hybridMultilevel"/>
    <w:tmpl w:val="E9BC92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E77CBB"/>
    <w:multiLevelType w:val="multilevel"/>
    <w:tmpl w:val="B8F4E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2"/>
  </w:num>
  <w:num w:numId="3">
    <w:abstractNumId w:val="35"/>
  </w:num>
  <w:num w:numId="4">
    <w:abstractNumId w:val="10"/>
  </w:num>
  <w:num w:numId="5">
    <w:abstractNumId w:val="20"/>
  </w:num>
  <w:num w:numId="6">
    <w:abstractNumId w:val="22"/>
  </w:num>
  <w:num w:numId="7">
    <w:abstractNumId w:val="3"/>
  </w:num>
  <w:num w:numId="8">
    <w:abstractNumId w:val="30"/>
  </w:num>
  <w:num w:numId="9">
    <w:abstractNumId w:val="23"/>
  </w:num>
  <w:num w:numId="10">
    <w:abstractNumId w:val="6"/>
  </w:num>
  <w:num w:numId="11">
    <w:abstractNumId w:val="34"/>
  </w:num>
  <w:num w:numId="12">
    <w:abstractNumId w:val="32"/>
  </w:num>
  <w:num w:numId="13">
    <w:abstractNumId w:val="25"/>
  </w:num>
  <w:num w:numId="14">
    <w:abstractNumId w:val="29"/>
  </w:num>
  <w:num w:numId="15">
    <w:abstractNumId w:val="5"/>
  </w:num>
  <w:num w:numId="16">
    <w:abstractNumId w:val="19"/>
  </w:num>
  <w:num w:numId="17">
    <w:abstractNumId w:val="10"/>
  </w:num>
  <w:num w:numId="18">
    <w:abstractNumId w:val="36"/>
  </w:num>
  <w:num w:numId="19">
    <w:abstractNumId w:val="20"/>
  </w:num>
  <w:num w:numId="20">
    <w:abstractNumId w:val="22"/>
  </w:num>
  <w:num w:numId="21">
    <w:abstractNumId w:val="3"/>
  </w:num>
  <w:num w:numId="22">
    <w:abstractNumId w:val="30"/>
  </w:num>
  <w:num w:numId="23">
    <w:abstractNumId w:val="23"/>
  </w:num>
  <w:num w:numId="24">
    <w:abstractNumId w:val="11"/>
  </w:num>
  <w:num w:numId="25">
    <w:abstractNumId w:val="16"/>
  </w:num>
  <w:num w:numId="26">
    <w:abstractNumId w:val="27"/>
  </w:num>
  <w:num w:numId="27">
    <w:abstractNumId w:val="31"/>
  </w:num>
  <w:num w:numId="28">
    <w:abstractNumId w:val="14"/>
  </w:num>
  <w:num w:numId="29">
    <w:abstractNumId w:val="13"/>
  </w:num>
  <w:num w:numId="30">
    <w:abstractNumId w:val="28"/>
  </w:num>
  <w:num w:numId="31">
    <w:abstractNumId w:val="33"/>
  </w:num>
  <w:num w:numId="32">
    <w:abstractNumId w:val="9"/>
  </w:num>
  <w:num w:numId="33">
    <w:abstractNumId w:val="15"/>
  </w:num>
  <w:num w:numId="34">
    <w:abstractNumId w:val="4"/>
  </w:num>
  <w:num w:numId="35">
    <w:abstractNumId w:val="0"/>
  </w:num>
  <w:num w:numId="36">
    <w:abstractNumId w:val="12"/>
  </w:num>
  <w:num w:numId="37">
    <w:abstractNumId w:val="17"/>
  </w:num>
  <w:num w:numId="38">
    <w:abstractNumId w:val="2"/>
  </w:num>
  <w:num w:numId="39">
    <w:abstractNumId w:val="8"/>
  </w:num>
  <w:num w:numId="40">
    <w:abstractNumId w:val="24"/>
  </w:num>
  <w:num w:numId="41">
    <w:abstractNumId w:val="7"/>
  </w:num>
  <w:num w:numId="42">
    <w:abstractNumId w:val="26"/>
  </w:num>
  <w:num w:numId="43">
    <w:abstractNumId w:val="21"/>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TYxMTGzMDayNDRS0lEKTi0uzszPAykwqQUAO8MrJSwAAAA="/>
  </w:docVars>
  <w:rsids>
    <w:rsidRoot w:val="00B75ABC"/>
    <w:rsid w:val="00034A6F"/>
    <w:rsid w:val="00070399"/>
    <w:rsid w:val="0009405A"/>
    <w:rsid w:val="000A64A9"/>
    <w:rsid w:val="000B0E79"/>
    <w:rsid w:val="000B6922"/>
    <w:rsid w:val="000E61EE"/>
    <w:rsid w:val="00106B42"/>
    <w:rsid w:val="00127E69"/>
    <w:rsid w:val="00155445"/>
    <w:rsid w:val="00155582"/>
    <w:rsid w:val="00176907"/>
    <w:rsid w:val="001B6C18"/>
    <w:rsid w:val="002403FE"/>
    <w:rsid w:val="0028039D"/>
    <w:rsid w:val="002D5520"/>
    <w:rsid w:val="0030020C"/>
    <w:rsid w:val="003164BE"/>
    <w:rsid w:val="00326885"/>
    <w:rsid w:val="00326EFD"/>
    <w:rsid w:val="00354396"/>
    <w:rsid w:val="003822A3"/>
    <w:rsid w:val="0038402E"/>
    <w:rsid w:val="003A4A0C"/>
    <w:rsid w:val="003B0314"/>
    <w:rsid w:val="00401198"/>
    <w:rsid w:val="00411A69"/>
    <w:rsid w:val="004340BE"/>
    <w:rsid w:val="00486AEF"/>
    <w:rsid w:val="00486B0A"/>
    <w:rsid w:val="004F7B6E"/>
    <w:rsid w:val="0054010D"/>
    <w:rsid w:val="00560A01"/>
    <w:rsid w:val="00582DE1"/>
    <w:rsid w:val="00592F53"/>
    <w:rsid w:val="005B0718"/>
    <w:rsid w:val="005D4FE8"/>
    <w:rsid w:val="005D7253"/>
    <w:rsid w:val="005F3EA6"/>
    <w:rsid w:val="00626836"/>
    <w:rsid w:val="0064784E"/>
    <w:rsid w:val="0065144D"/>
    <w:rsid w:val="006B0E9C"/>
    <w:rsid w:val="006C3658"/>
    <w:rsid w:val="006D7A4C"/>
    <w:rsid w:val="00707D52"/>
    <w:rsid w:val="00712E20"/>
    <w:rsid w:val="0072581C"/>
    <w:rsid w:val="00745F0B"/>
    <w:rsid w:val="007E69AD"/>
    <w:rsid w:val="008138CC"/>
    <w:rsid w:val="00830F49"/>
    <w:rsid w:val="00866DA2"/>
    <w:rsid w:val="0089222B"/>
    <w:rsid w:val="008A182A"/>
    <w:rsid w:val="008E7337"/>
    <w:rsid w:val="00905C16"/>
    <w:rsid w:val="009130BE"/>
    <w:rsid w:val="0091423E"/>
    <w:rsid w:val="00915802"/>
    <w:rsid w:val="00935DFE"/>
    <w:rsid w:val="00946309"/>
    <w:rsid w:val="00947A6B"/>
    <w:rsid w:val="009513B7"/>
    <w:rsid w:val="009544E7"/>
    <w:rsid w:val="00957D16"/>
    <w:rsid w:val="0096194F"/>
    <w:rsid w:val="009640F6"/>
    <w:rsid w:val="00967E60"/>
    <w:rsid w:val="009708EE"/>
    <w:rsid w:val="00995FA8"/>
    <w:rsid w:val="009B115A"/>
    <w:rsid w:val="009E33A2"/>
    <w:rsid w:val="009F1AB7"/>
    <w:rsid w:val="00A13569"/>
    <w:rsid w:val="00A24265"/>
    <w:rsid w:val="00A41F1C"/>
    <w:rsid w:val="00AA1E06"/>
    <w:rsid w:val="00AB0324"/>
    <w:rsid w:val="00AB1A94"/>
    <w:rsid w:val="00AD0650"/>
    <w:rsid w:val="00B06EF8"/>
    <w:rsid w:val="00B64BFB"/>
    <w:rsid w:val="00B678CE"/>
    <w:rsid w:val="00B75ABC"/>
    <w:rsid w:val="00BA1859"/>
    <w:rsid w:val="00BD2B41"/>
    <w:rsid w:val="00C40C14"/>
    <w:rsid w:val="00C67458"/>
    <w:rsid w:val="00CB576C"/>
    <w:rsid w:val="00CD2879"/>
    <w:rsid w:val="00CE0E41"/>
    <w:rsid w:val="00D1104B"/>
    <w:rsid w:val="00D12BB2"/>
    <w:rsid w:val="00D670D8"/>
    <w:rsid w:val="00D717F5"/>
    <w:rsid w:val="00D93EE1"/>
    <w:rsid w:val="00DB0995"/>
    <w:rsid w:val="00DF6710"/>
    <w:rsid w:val="00E6131C"/>
    <w:rsid w:val="00EC5CDF"/>
    <w:rsid w:val="00F71EAA"/>
    <w:rsid w:val="00FD4D33"/>
    <w:rsid w:val="00FF019D"/>
    <w:rsid w:val="1CBE7356"/>
    <w:rsid w:val="24C165DF"/>
    <w:rsid w:val="4A392CF9"/>
    <w:rsid w:val="5A52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E14A"/>
  <w15:chartTrackingRefBased/>
  <w15:docId w15:val="{8FC026BD-9478-4445-8AB8-38F7C36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ABC"/>
  </w:style>
  <w:style w:type="paragraph" w:styleId="Footer">
    <w:name w:val="footer"/>
    <w:basedOn w:val="Normal"/>
    <w:link w:val="FooterChar"/>
    <w:uiPriority w:val="99"/>
    <w:unhideWhenUsed/>
    <w:rsid w:val="00B7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ABC"/>
  </w:style>
  <w:style w:type="paragraph" w:styleId="ListParagraph">
    <w:name w:val="List Paragraph"/>
    <w:basedOn w:val="Normal"/>
    <w:uiPriority w:val="34"/>
    <w:qFormat/>
    <w:rsid w:val="00626836"/>
    <w:pPr>
      <w:ind w:left="720"/>
      <w:contextualSpacing/>
    </w:pPr>
  </w:style>
  <w:style w:type="character" w:styleId="Strong">
    <w:name w:val="Strong"/>
    <w:basedOn w:val="DefaultParagraphFont"/>
    <w:uiPriority w:val="22"/>
    <w:qFormat/>
    <w:rsid w:val="00A41F1C"/>
    <w:rPr>
      <w:b/>
      <w:bCs/>
    </w:rPr>
  </w:style>
  <w:style w:type="paragraph" w:customStyle="1" w:styleId="Default">
    <w:name w:val="Default"/>
    <w:rsid w:val="00957D1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D7A4C"/>
    <w:rPr>
      <w:color w:val="0563C1" w:themeColor="hyperlink"/>
      <w:u w:val="single"/>
    </w:rPr>
  </w:style>
  <w:style w:type="character" w:styleId="UnresolvedMention">
    <w:name w:val="Unresolved Mention"/>
    <w:basedOn w:val="DefaultParagraphFont"/>
    <w:uiPriority w:val="99"/>
    <w:semiHidden/>
    <w:unhideWhenUsed/>
    <w:rsid w:val="006D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73917">
      <w:bodyDiv w:val="1"/>
      <w:marLeft w:val="0"/>
      <w:marRight w:val="0"/>
      <w:marTop w:val="0"/>
      <w:marBottom w:val="0"/>
      <w:divBdr>
        <w:top w:val="none" w:sz="0" w:space="0" w:color="auto"/>
        <w:left w:val="none" w:sz="0" w:space="0" w:color="auto"/>
        <w:bottom w:val="none" w:sz="0" w:space="0" w:color="auto"/>
        <w:right w:val="none" w:sz="0" w:space="0" w:color="auto"/>
      </w:divBdr>
    </w:div>
    <w:div w:id="444161133">
      <w:bodyDiv w:val="1"/>
      <w:marLeft w:val="0"/>
      <w:marRight w:val="0"/>
      <w:marTop w:val="0"/>
      <w:marBottom w:val="0"/>
      <w:divBdr>
        <w:top w:val="none" w:sz="0" w:space="0" w:color="auto"/>
        <w:left w:val="none" w:sz="0" w:space="0" w:color="auto"/>
        <w:bottom w:val="none" w:sz="0" w:space="0" w:color="auto"/>
        <w:right w:val="none" w:sz="0" w:space="0" w:color="auto"/>
      </w:divBdr>
    </w:div>
    <w:div w:id="826093342">
      <w:bodyDiv w:val="1"/>
      <w:marLeft w:val="0"/>
      <w:marRight w:val="0"/>
      <w:marTop w:val="0"/>
      <w:marBottom w:val="0"/>
      <w:divBdr>
        <w:top w:val="none" w:sz="0" w:space="0" w:color="auto"/>
        <w:left w:val="none" w:sz="0" w:space="0" w:color="auto"/>
        <w:bottom w:val="none" w:sz="0" w:space="0" w:color="auto"/>
        <w:right w:val="none" w:sz="0" w:space="0" w:color="auto"/>
      </w:divBdr>
    </w:div>
    <w:div w:id="924463530">
      <w:bodyDiv w:val="1"/>
      <w:marLeft w:val="0"/>
      <w:marRight w:val="0"/>
      <w:marTop w:val="0"/>
      <w:marBottom w:val="0"/>
      <w:divBdr>
        <w:top w:val="none" w:sz="0" w:space="0" w:color="auto"/>
        <w:left w:val="none" w:sz="0" w:space="0" w:color="auto"/>
        <w:bottom w:val="none" w:sz="0" w:space="0" w:color="auto"/>
        <w:right w:val="none" w:sz="0" w:space="0" w:color="auto"/>
      </w:divBdr>
    </w:div>
    <w:div w:id="1023819789">
      <w:bodyDiv w:val="1"/>
      <w:marLeft w:val="0"/>
      <w:marRight w:val="0"/>
      <w:marTop w:val="0"/>
      <w:marBottom w:val="0"/>
      <w:divBdr>
        <w:top w:val="none" w:sz="0" w:space="0" w:color="auto"/>
        <w:left w:val="none" w:sz="0" w:space="0" w:color="auto"/>
        <w:bottom w:val="none" w:sz="0" w:space="0" w:color="auto"/>
        <w:right w:val="none" w:sz="0" w:space="0" w:color="auto"/>
      </w:divBdr>
    </w:div>
    <w:div w:id="1130057446">
      <w:bodyDiv w:val="1"/>
      <w:marLeft w:val="0"/>
      <w:marRight w:val="0"/>
      <w:marTop w:val="0"/>
      <w:marBottom w:val="0"/>
      <w:divBdr>
        <w:top w:val="none" w:sz="0" w:space="0" w:color="auto"/>
        <w:left w:val="none" w:sz="0" w:space="0" w:color="auto"/>
        <w:bottom w:val="none" w:sz="0" w:space="0" w:color="auto"/>
        <w:right w:val="none" w:sz="0" w:space="0" w:color="auto"/>
      </w:divBdr>
    </w:div>
    <w:div w:id="1538658964">
      <w:bodyDiv w:val="1"/>
      <w:marLeft w:val="0"/>
      <w:marRight w:val="0"/>
      <w:marTop w:val="0"/>
      <w:marBottom w:val="0"/>
      <w:divBdr>
        <w:top w:val="none" w:sz="0" w:space="0" w:color="auto"/>
        <w:left w:val="none" w:sz="0" w:space="0" w:color="auto"/>
        <w:bottom w:val="none" w:sz="0" w:space="0" w:color="auto"/>
        <w:right w:val="none" w:sz="0" w:space="0" w:color="auto"/>
      </w:divBdr>
    </w:div>
    <w:div w:id="1786534624">
      <w:bodyDiv w:val="1"/>
      <w:marLeft w:val="0"/>
      <w:marRight w:val="0"/>
      <w:marTop w:val="0"/>
      <w:marBottom w:val="0"/>
      <w:divBdr>
        <w:top w:val="none" w:sz="0" w:space="0" w:color="auto"/>
        <w:left w:val="none" w:sz="0" w:space="0" w:color="auto"/>
        <w:bottom w:val="none" w:sz="0" w:space="0" w:color="auto"/>
        <w:right w:val="none" w:sz="0" w:space="0" w:color="auto"/>
      </w:divBdr>
    </w:div>
    <w:div w:id="1796017671">
      <w:bodyDiv w:val="1"/>
      <w:marLeft w:val="0"/>
      <w:marRight w:val="0"/>
      <w:marTop w:val="0"/>
      <w:marBottom w:val="0"/>
      <w:divBdr>
        <w:top w:val="none" w:sz="0" w:space="0" w:color="auto"/>
        <w:left w:val="none" w:sz="0" w:space="0" w:color="auto"/>
        <w:bottom w:val="none" w:sz="0" w:space="0" w:color="auto"/>
        <w:right w:val="none" w:sz="0" w:space="0" w:color="auto"/>
      </w:divBdr>
    </w:div>
    <w:div w:id="2070810650">
      <w:bodyDiv w:val="1"/>
      <w:marLeft w:val="0"/>
      <w:marRight w:val="0"/>
      <w:marTop w:val="0"/>
      <w:marBottom w:val="0"/>
      <w:divBdr>
        <w:top w:val="none" w:sz="0" w:space="0" w:color="auto"/>
        <w:left w:val="none" w:sz="0" w:space="0" w:color="auto"/>
        <w:bottom w:val="none" w:sz="0" w:space="0" w:color="auto"/>
        <w:right w:val="none" w:sz="0" w:space="0" w:color="auto"/>
      </w:divBdr>
    </w:div>
    <w:div w:id="20835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mapr@humebroph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fama.org" TargetMode="External"/><Relationship Id="rId4" Type="http://schemas.openxmlformats.org/officeDocument/2006/relationships/webSettings" Target="webSettings.xml"/><Relationship Id="rId9" Type="http://schemas.openxmlformats.org/officeDocument/2006/relationships/hyperlink" Target="mailto:info@efa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4347</Characters>
  <Application>Microsoft Office Word</Application>
  <DocSecurity>0</DocSecurity>
  <Lines>120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Links>
    <vt:vector size="18" baseType="variant">
      <vt:variant>
        <vt:i4>4587527</vt:i4>
      </vt:variant>
      <vt:variant>
        <vt:i4>6</vt:i4>
      </vt:variant>
      <vt:variant>
        <vt:i4>0</vt:i4>
      </vt:variant>
      <vt:variant>
        <vt:i4>5</vt:i4>
      </vt:variant>
      <vt:variant>
        <vt:lpwstr>http://www.efama.org/</vt:lpwstr>
      </vt:variant>
      <vt:variant>
        <vt:lpwstr/>
      </vt:variant>
      <vt:variant>
        <vt:i4>7995457</vt:i4>
      </vt:variant>
      <vt:variant>
        <vt:i4>3</vt:i4>
      </vt:variant>
      <vt:variant>
        <vt:i4>0</vt:i4>
      </vt:variant>
      <vt:variant>
        <vt:i4>5</vt:i4>
      </vt:variant>
      <vt:variant>
        <vt:lpwstr>mailto:info@efama.org</vt:lpwstr>
      </vt:variant>
      <vt:variant>
        <vt:lpwstr/>
      </vt:variant>
      <vt:variant>
        <vt:i4>5505145</vt:i4>
      </vt:variant>
      <vt:variant>
        <vt:i4>0</vt:i4>
      </vt:variant>
      <vt:variant>
        <vt:i4>0</vt:i4>
      </vt:variant>
      <vt:variant>
        <vt:i4>5</vt:i4>
      </vt:variant>
      <vt:variant>
        <vt:lpwstr>mailto:Efamapr@humebrophy.com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Bhatti</dc:creator>
  <cp:keywords/>
  <dc:description/>
  <cp:lastModifiedBy>Daniela Haiduc</cp:lastModifiedBy>
  <cp:revision>2</cp:revision>
  <dcterms:created xsi:type="dcterms:W3CDTF">2021-03-11T11:25:00Z</dcterms:created>
  <dcterms:modified xsi:type="dcterms:W3CDTF">2021-03-11T11:25:00Z</dcterms:modified>
</cp:coreProperties>
</file>