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insideH w:val="none" w:sz="0" w:space="0" w:color="auto"/>
          <w:insideV w:val="none" w:sz="0" w:space="0" w:color="auto"/>
        </w:tblBorders>
        <w:tblLook w:val="04A0" w:firstRow="1" w:lastRow="0" w:firstColumn="1" w:lastColumn="0" w:noHBand="0" w:noVBand="1"/>
      </w:tblPr>
      <w:tblGrid>
        <w:gridCol w:w="9627"/>
      </w:tblGrid>
      <w:tr w:rsidR="000E77C1" w:rsidRPr="000E77C1" w14:paraId="4F915618" w14:textId="77777777" w:rsidTr="00AC1910">
        <w:tc>
          <w:tcPr>
            <w:tcW w:w="9627" w:type="dxa"/>
            <w:vAlign w:val="center"/>
          </w:tcPr>
          <w:p w14:paraId="600F8C97" w14:textId="5CD53DF0" w:rsidR="00AC1910" w:rsidRPr="000E77C1" w:rsidRDefault="000E77C1" w:rsidP="00553ACA">
            <w:pPr>
              <w:pBdr>
                <w:top w:val="single" w:sz="4" w:space="1" w:color="auto"/>
                <w:left w:val="single" w:sz="4" w:space="4" w:color="auto"/>
                <w:bottom w:val="single" w:sz="4" w:space="1" w:color="auto"/>
                <w:right w:val="single" w:sz="4" w:space="4" w:color="auto"/>
              </w:pBdr>
              <w:spacing w:before="0" w:after="0"/>
              <w:jc w:val="center"/>
              <w:rPr>
                <w:b/>
                <w:sz w:val="40"/>
                <w:lang w:val="en-US"/>
              </w:rPr>
            </w:pPr>
            <w:r w:rsidRPr="00455911">
              <w:rPr>
                <w:b/>
                <w:sz w:val="36"/>
                <w:lang w:val="en-US"/>
              </w:rPr>
              <w:t>EFAMA’s comments on the European Commission’s draft legislative proposals in relation to the sustainable Finance Initiative and the MiFID II suitability requirements</w:t>
            </w:r>
          </w:p>
        </w:tc>
      </w:tr>
    </w:tbl>
    <w:p w14:paraId="0BCA9526" w14:textId="77777777" w:rsidR="00A609C8" w:rsidRDefault="00A609C8" w:rsidP="000E77C1">
      <w:pPr>
        <w:spacing w:before="0" w:after="0"/>
      </w:pPr>
    </w:p>
    <w:p w14:paraId="5A254052" w14:textId="77777777" w:rsidR="000E77C1" w:rsidRDefault="000E77C1" w:rsidP="000E77C1">
      <w:pPr>
        <w:spacing w:before="0" w:after="0"/>
      </w:pPr>
    </w:p>
    <w:p w14:paraId="5F57BCAC" w14:textId="43EDF624" w:rsidR="00C379D6" w:rsidRPr="00B769DD" w:rsidRDefault="00C379D6" w:rsidP="00455911">
      <w:pPr>
        <w:spacing w:before="0" w:after="0"/>
        <w:rPr>
          <w:b/>
          <w:i/>
          <w:sz w:val="28"/>
          <w:szCs w:val="28"/>
          <w:u w:val="single"/>
        </w:rPr>
      </w:pPr>
      <w:r w:rsidRPr="00B769DD">
        <w:rPr>
          <w:b/>
          <w:i/>
          <w:sz w:val="28"/>
          <w:szCs w:val="28"/>
          <w:u w:val="single"/>
        </w:rPr>
        <w:t>General comments</w:t>
      </w:r>
    </w:p>
    <w:p w14:paraId="1221C7D7" w14:textId="77777777" w:rsidR="005C1779" w:rsidRPr="00C379D6" w:rsidRDefault="005C1779" w:rsidP="00455911">
      <w:pPr>
        <w:spacing w:before="0" w:after="0"/>
        <w:rPr>
          <w:i/>
          <w:u w:val="single"/>
        </w:rPr>
      </w:pPr>
    </w:p>
    <w:p w14:paraId="34FC47F7" w14:textId="77777777" w:rsidR="005C1779" w:rsidRPr="00EE2799" w:rsidRDefault="005C1779" w:rsidP="00455911">
      <w:pPr>
        <w:spacing w:before="0" w:after="0"/>
        <w:rPr>
          <w:b/>
        </w:rPr>
      </w:pPr>
      <w:r w:rsidRPr="00EE2799">
        <w:rPr>
          <w:b/>
        </w:rPr>
        <w:t>Introduction</w:t>
      </w:r>
    </w:p>
    <w:p w14:paraId="6025A60D" w14:textId="0734F9D6" w:rsidR="00265286" w:rsidRDefault="005F5274" w:rsidP="00455911">
      <w:pPr>
        <w:spacing w:before="0" w:after="0"/>
      </w:pPr>
      <w:r>
        <w:t>EFAMA</w:t>
      </w:r>
      <w:r w:rsidR="00265286">
        <w:rPr>
          <w:rStyle w:val="FootnoteReference"/>
        </w:rPr>
        <w:footnoteReference w:id="1"/>
      </w:r>
      <w:r>
        <w:t xml:space="preserve"> strongly supports the promotion of </w:t>
      </w:r>
      <w:r w:rsidRPr="005F5274">
        <w:t>sustainable finance</w:t>
      </w:r>
      <w:r w:rsidR="00607C06">
        <w:t xml:space="preserve"> in all its forms</w:t>
      </w:r>
      <w:r w:rsidR="003E3922">
        <w:t xml:space="preserve"> and </w:t>
      </w:r>
      <w:r w:rsidR="00E32441">
        <w:t>looks</w:t>
      </w:r>
      <w:r w:rsidR="00C379D6">
        <w:t xml:space="preserve"> forward to </w:t>
      </w:r>
      <w:r w:rsidR="00C30814">
        <w:t xml:space="preserve">engaging with policymakers on </w:t>
      </w:r>
      <w:r w:rsidR="003E3922">
        <w:t xml:space="preserve">the European Commission’s </w:t>
      </w:r>
      <w:r w:rsidR="00265286">
        <w:t xml:space="preserve">proposals </w:t>
      </w:r>
      <w:r w:rsidR="00265286" w:rsidRPr="00265286">
        <w:t>on sustainable finance</w:t>
      </w:r>
      <w:r w:rsidR="00265286">
        <w:t>.</w:t>
      </w:r>
    </w:p>
    <w:p w14:paraId="22767E16" w14:textId="77777777" w:rsidR="000E77C1" w:rsidRDefault="000E77C1" w:rsidP="00455911">
      <w:pPr>
        <w:spacing w:before="0" w:after="0"/>
      </w:pPr>
    </w:p>
    <w:p w14:paraId="0FFE2B6A" w14:textId="5EA51CC9" w:rsidR="00047FBC" w:rsidRDefault="004D778B" w:rsidP="00455911">
      <w:pPr>
        <w:spacing w:before="0" w:after="0"/>
      </w:pPr>
      <w:r>
        <w:t xml:space="preserve">European asset </w:t>
      </w:r>
      <w:r w:rsidR="00C73D2F">
        <w:t xml:space="preserve">managers have </w:t>
      </w:r>
      <w:r w:rsidR="005944C3">
        <w:t xml:space="preserve">been integrating ESG in </w:t>
      </w:r>
      <w:r w:rsidR="00C73D2F">
        <w:t xml:space="preserve">their </w:t>
      </w:r>
      <w:r w:rsidR="005944C3">
        <w:t>investment processes in</w:t>
      </w:r>
      <w:r w:rsidR="005944C3" w:rsidRPr="005944C3">
        <w:t xml:space="preserve"> different </w:t>
      </w:r>
      <w:r w:rsidR="00AC1910">
        <w:t>ways</w:t>
      </w:r>
      <w:r w:rsidR="00AC1910" w:rsidRPr="005944C3">
        <w:t xml:space="preserve"> </w:t>
      </w:r>
      <w:r w:rsidR="005944C3">
        <w:t>for many years</w:t>
      </w:r>
      <w:r w:rsidR="00221615">
        <w:t>. It is</w:t>
      </w:r>
      <w:r w:rsidR="005944C3">
        <w:t xml:space="preserve"> part of</w:t>
      </w:r>
      <w:r w:rsidRPr="004D778B">
        <w:t xml:space="preserve"> their </w:t>
      </w:r>
      <w:r w:rsidR="000A7F62" w:rsidRPr="000A7F62">
        <w:t xml:space="preserve">pursuit of helping asset owner clients </w:t>
      </w:r>
      <w:r w:rsidR="00221615">
        <w:t>mitigate risk and</w:t>
      </w:r>
      <w:r w:rsidR="00221615" w:rsidRPr="000A7F62">
        <w:t xml:space="preserve"> </w:t>
      </w:r>
      <w:r w:rsidR="000A7F62" w:rsidRPr="000A7F62">
        <w:t xml:space="preserve">achieve long-term financial returns and </w:t>
      </w:r>
      <w:r w:rsidR="00221615">
        <w:t xml:space="preserve">is </w:t>
      </w:r>
      <w:r w:rsidRPr="004D778B">
        <w:t>a key element of their</w:t>
      </w:r>
      <w:r w:rsidR="00576DAA">
        <w:t xml:space="preserve"> operational excellence and</w:t>
      </w:r>
      <w:r>
        <w:t xml:space="preserve"> </w:t>
      </w:r>
      <w:r w:rsidRPr="004D778B">
        <w:t xml:space="preserve">competitive advantage. </w:t>
      </w:r>
      <w:r w:rsidR="00607C06" w:rsidRPr="00607C06">
        <w:t xml:space="preserve">In listening to clients and providing them with solutions to achieve their </w:t>
      </w:r>
      <w:r w:rsidR="00AC1910" w:rsidRPr="00607C06">
        <w:t xml:space="preserve">investment </w:t>
      </w:r>
      <w:r w:rsidR="00607C06" w:rsidRPr="00607C06">
        <w:t>objectives, the asset management industry contributes to a more sustainable economy by:</w:t>
      </w:r>
    </w:p>
    <w:p w14:paraId="36CFD880" w14:textId="77777777" w:rsidR="000E77C1" w:rsidRPr="00607C06" w:rsidRDefault="000E77C1" w:rsidP="00455911">
      <w:pPr>
        <w:spacing w:before="0" w:after="0"/>
      </w:pPr>
    </w:p>
    <w:p w14:paraId="55B5E258" w14:textId="532B54E1" w:rsidR="00607C06" w:rsidRDefault="000A7F62" w:rsidP="00455911">
      <w:pPr>
        <w:numPr>
          <w:ilvl w:val="0"/>
          <w:numId w:val="12"/>
        </w:numPr>
        <w:spacing w:before="0" w:after="0"/>
      </w:pPr>
      <w:r>
        <w:t>I</w:t>
      </w:r>
      <w:r w:rsidR="00607C06" w:rsidRPr="00F4422A">
        <w:t>ntegrati</w:t>
      </w:r>
      <w:r>
        <w:t>ng</w:t>
      </w:r>
      <w:r w:rsidR="00607C06" w:rsidRPr="00F4422A">
        <w:t xml:space="preserve"> ESG</w:t>
      </w:r>
      <w:r>
        <w:t xml:space="preserve"> factors</w:t>
      </w:r>
      <w:r w:rsidR="00607C06" w:rsidRPr="00F4422A">
        <w:t xml:space="preserve"> in the investment process</w:t>
      </w:r>
      <w:r>
        <w:t>, where relevant and material</w:t>
      </w:r>
      <w:r w:rsidR="00C73D2F">
        <w:t>;</w:t>
      </w:r>
    </w:p>
    <w:p w14:paraId="0789F81E" w14:textId="4B6E6AC0" w:rsidR="00067761" w:rsidRPr="00F4422A" w:rsidRDefault="00067761" w:rsidP="00455911">
      <w:pPr>
        <w:numPr>
          <w:ilvl w:val="0"/>
          <w:numId w:val="12"/>
        </w:numPr>
        <w:spacing w:before="0" w:after="0"/>
      </w:pPr>
      <w:r w:rsidRPr="00067761">
        <w:t>Providing investment solutions that respond to clients</w:t>
      </w:r>
      <w:r w:rsidR="000A7F62">
        <w:t xml:space="preserve">’ </w:t>
      </w:r>
      <w:r w:rsidR="000A7F62" w:rsidRPr="000A7F62">
        <w:t>financial, ESG and impact demands</w:t>
      </w:r>
      <w:r w:rsidRPr="00067761">
        <w:t>;</w:t>
      </w:r>
    </w:p>
    <w:p w14:paraId="187FC7E0" w14:textId="0EDE34E0" w:rsidR="00576DAA" w:rsidRDefault="00571451" w:rsidP="00455911">
      <w:pPr>
        <w:pStyle w:val="ListParagraph"/>
        <w:numPr>
          <w:ilvl w:val="0"/>
          <w:numId w:val="12"/>
        </w:numPr>
        <w:spacing w:before="0" w:after="0"/>
      </w:pPr>
      <w:r w:rsidRPr="00571451">
        <w:t>Engaging with com</w:t>
      </w:r>
      <w:r>
        <w:t>panies in their portfolios to</w:t>
      </w:r>
      <w:r w:rsidRPr="00571451">
        <w:t xml:space="preserve"> better understand</w:t>
      </w:r>
      <w:r w:rsidR="00221615">
        <w:t xml:space="preserve"> </w:t>
      </w:r>
      <w:r w:rsidRPr="00571451">
        <w:t>the management of th</w:t>
      </w:r>
      <w:r w:rsidR="00576DAA">
        <w:t>eir ESG risks and opportunities;</w:t>
      </w:r>
    </w:p>
    <w:p w14:paraId="6503D6E3" w14:textId="77777777" w:rsidR="00C379D6" w:rsidRDefault="00C379D6" w:rsidP="00455911">
      <w:pPr>
        <w:spacing w:before="0" w:after="0"/>
      </w:pPr>
    </w:p>
    <w:p w14:paraId="15422E96" w14:textId="2DE28B3E" w:rsidR="0053724B" w:rsidRDefault="00265286" w:rsidP="00455911">
      <w:pPr>
        <w:spacing w:before="0" w:after="0"/>
      </w:pPr>
      <w:r w:rsidRPr="00265286">
        <w:t xml:space="preserve">With </w:t>
      </w:r>
      <w:r>
        <w:t>these important points</w:t>
      </w:r>
      <w:r w:rsidRPr="00265286">
        <w:t xml:space="preserve"> in mind, </w:t>
      </w:r>
      <w:r>
        <w:t>we would like to provide you with our comments on the European Commission’s draft legislative proposal to amend the current MiFID II Level-2 Delegated Regulation (</w:t>
      </w:r>
      <w:hyperlink r:id="rId8" w:history="1">
        <w:r w:rsidRPr="00B23084">
          <w:rPr>
            <w:rStyle w:val="Hyperlink"/>
          </w:rPr>
          <w:t>link</w:t>
        </w:r>
      </w:hyperlink>
      <w:r>
        <w:t>).</w:t>
      </w:r>
      <w:r w:rsidR="00E32441">
        <w:t xml:space="preserve"> </w:t>
      </w:r>
      <w:r w:rsidR="0053724B">
        <w:t xml:space="preserve">However, providing detailed </w:t>
      </w:r>
      <w:r w:rsidR="005C1779">
        <w:t xml:space="preserve">a </w:t>
      </w:r>
      <w:r w:rsidR="0053724B">
        <w:t xml:space="preserve">response </w:t>
      </w:r>
      <w:r w:rsidR="004C2AA4">
        <w:t xml:space="preserve">given the </w:t>
      </w:r>
      <w:r w:rsidR="0053724B">
        <w:t xml:space="preserve">proposal’s considerable practical and operational implications is </w:t>
      </w:r>
      <w:r w:rsidR="004C2AA4">
        <w:t xml:space="preserve">extremely </w:t>
      </w:r>
      <w:r w:rsidR="0053724B">
        <w:t xml:space="preserve">challenging </w:t>
      </w:r>
      <w:r w:rsidR="005C1779">
        <w:t>at</w:t>
      </w:r>
      <w:r w:rsidR="0053724B">
        <w:t xml:space="preserve"> such short notice. </w:t>
      </w:r>
      <w:r w:rsidR="004C2AA4">
        <w:t xml:space="preserve">We believe that further public debate is necessary and </w:t>
      </w:r>
      <w:r w:rsidR="005C1779">
        <w:t xml:space="preserve">would </w:t>
      </w:r>
      <w:r w:rsidR="0053724B">
        <w:t xml:space="preserve">therefore encourage the European Commission to continue </w:t>
      </w:r>
      <w:r w:rsidR="004C2AA4">
        <w:t>this public discussion</w:t>
      </w:r>
      <w:r w:rsidR="0053724B">
        <w:t xml:space="preserve"> before issuing final </w:t>
      </w:r>
      <w:r w:rsidR="0053724B" w:rsidRPr="0053724B">
        <w:t>legislative proposal</w:t>
      </w:r>
      <w:r w:rsidR="0053724B">
        <w:t>s for approval by the European co-legislators.</w:t>
      </w:r>
    </w:p>
    <w:p w14:paraId="1F6F1AD4" w14:textId="77777777" w:rsidR="0053724B" w:rsidRDefault="0053724B" w:rsidP="00455911">
      <w:pPr>
        <w:spacing w:before="0" w:after="0"/>
      </w:pPr>
    </w:p>
    <w:p w14:paraId="0440E503" w14:textId="0ECE5287" w:rsidR="005C1779" w:rsidRPr="00EE2799" w:rsidRDefault="005C1779" w:rsidP="00455911">
      <w:pPr>
        <w:spacing w:before="0" w:after="0"/>
        <w:rPr>
          <w:b/>
        </w:rPr>
      </w:pPr>
      <w:r>
        <w:rPr>
          <w:b/>
        </w:rPr>
        <w:t xml:space="preserve">(1) </w:t>
      </w:r>
      <w:r w:rsidRPr="00EE2799">
        <w:rPr>
          <w:b/>
        </w:rPr>
        <w:t>Impact on wider distribution of financial instruments</w:t>
      </w:r>
    </w:p>
    <w:p w14:paraId="175E171E" w14:textId="7D9F2374" w:rsidR="00226EFB" w:rsidRDefault="00D9220E" w:rsidP="00455911">
      <w:pPr>
        <w:spacing w:before="0" w:after="0"/>
      </w:pPr>
      <w:r>
        <w:t>In general, w</w:t>
      </w:r>
      <w:r w:rsidR="00E32441">
        <w:t xml:space="preserve">e are supportive of the overarching principle to clarify </w:t>
      </w:r>
      <w:r w:rsidR="00AC1910">
        <w:t xml:space="preserve">the suitability assessment requirements and formally include </w:t>
      </w:r>
      <w:r w:rsidR="00E32441">
        <w:t>client preferences on sustainability</w:t>
      </w:r>
      <w:r w:rsidR="00AC1910">
        <w:t>.</w:t>
      </w:r>
      <w:r w:rsidR="00E32441">
        <w:t xml:space="preserve"> </w:t>
      </w:r>
      <w:r w:rsidR="00AC1910">
        <w:t>I</w:t>
      </w:r>
      <w:r w:rsidR="00E32441">
        <w:t>n this regard</w:t>
      </w:r>
      <w:r w:rsidR="00B01184">
        <w:t>,</w:t>
      </w:r>
      <w:r w:rsidR="00E32441">
        <w:t xml:space="preserve"> we believe it is </w:t>
      </w:r>
      <w:r w:rsidR="00AC1910">
        <w:t xml:space="preserve">essential that those carrying out suitability assessments on investor needs are fully included </w:t>
      </w:r>
      <w:r w:rsidR="00E32441">
        <w:t>in this conversation.</w:t>
      </w:r>
      <w:r w:rsidR="00265286">
        <w:t xml:space="preserve"> </w:t>
      </w:r>
      <w:r w:rsidR="00221615">
        <w:t>These can</w:t>
      </w:r>
      <w:r w:rsidR="00221615" w:rsidRPr="002047D7">
        <w:t xml:space="preserve"> range from large wealth managers and discretionary managers to the vast number individual advisors and insurance intermediaries who support European consumers in their investment choices</w:t>
      </w:r>
      <w:r w:rsidR="00221615">
        <w:t>.</w:t>
      </w:r>
      <w:r w:rsidR="00265286">
        <w:t xml:space="preserve"> </w:t>
      </w:r>
      <w:r w:rsidR="00E32441">
        <w:t xml:space="preserve">However, </w:t>
      </w:r>
      <w:r w:rsidR="00B23084">
        <w:t>w</w:t>
      </w:r>
      <w:r w:rsidR="005E403D">
        <w:t xml:space="preserve">e are </w:t>
      </w:r>
      <w:r w:rsidR="005E403D">
        <w:lastRenderedPageBreak/>
        <w:t xml:space="preserve">concerned </w:t>
      </w:r>
      <w:r w:rsidR="00710C1F">
        <w:t>with</w:t>
      </w:r>
      <w:r w:rsidR="00226EFB">
        <w:t xml:space="preserve"> how </w:t>
      </w:r>
      <w:r w:rsidR="00B23084">
        <w:t xml:space="preserve">the </w:t>
      </w:r>
      <w:bookmarkStart w:id="0" w:name="_GoBack"/>
      <w:bookmarkEnd w:id="0"/>
      <w:r w:rsidR="00B23084">
        <w:t xml:space="preserve">proposed </w:t>
      </w:r>
      <w:r w:rsidR="00226EFB">
        <w:t xml:space="preserve">changes to one of the most integral </w:t>
      </w:r>
      <w:r w:rsidR="00010323">
        <w:t>cornerstones</w:t>
      </w:r>
      <w:r w:rsidR="00226EFB">
        <w:t xml:space="preserve"> of the new MiFID II framework will </w:t>
      </w:r>
      <w:r w:rsidR="00AC1910">
        <w:t xml:space="preserve">impact </w:t>
      </w:r>
      <w:r w:rsidR="00226EFB">
        <w:t xml:space="preserve">the wider distribution of financial instruments (in particular on a cross-border basis) </w:t>
      </w:r>
      <w:r w:rsidR="00AC1910">
        <w:t xml:space="preserve">to Europe’s retail investors, </w:t>
      </w:r>
      <w:r w:rsidR="00226EFB">
        <w:t xml:space="preserve">and how </w:t>
      </w:r>
      <w:r w:rsidR="00AC1910">
        <w:t xml:space="preserve">these changes </w:t>
      </w:r>
      <w:r w:rsidR="00710C1F">
        <w:t>would</w:t>
      </w:r>
      <w:r w:rsidR="00226EFB">
        <w:t xml:space="preserve"> work on a more technical level as changes to the MiFID II Level-1 Directive are not foreseen. </w:t>
      </w:r>
    </w:p>
    <w:p w14:paraId="59F38315" w14:textId="77777777" w:rsidR="00226EFB" w:rsidRDefault="00226EFB" w:rsidP="00455911">
      <w:pPr>
        <w:spacing w:before="0" w:after="0"/>
      </w:pPr>
    </w:p>
    <w:p w14:paraId="3351EF4B" w14:textId="18708901" w:rsidR="00404380" w:rsidRDefault="00710C1F" w:rsidP="00455911">
      <w:pPr>
        <w:spacing w:before="0" w:after="0"/>
        <w:contextualSpacing/>
      </w:pPr>
      <w:r>
        <w:t>W</w:t>
      </w:r>
      <w:r w:rsidR="00EC1582">
        <w:t xml:space="preserve">e acknowledge that </w:t>
      </w:r>
      <w:r w:rsidR="00EC1582" w:rsidRPr="00EC1582">
        <w:t>distributors</w:t>
      </w:r>
      <w:r w:rsidR="00C379D6">
        <w:t xml:space="preserve"> of financial instruments</w:t>
      </w:r>
      <w:r w:rsidR="00EC1582" w:rsidRPr="00EC1582">
        <w:t xml:space="preserve"> </w:t>
      </w:r>
      <w:r w:rsidR="00846AF8">
        <w:t>can help to</w:t>
      </w:r>
      <w:r w:rsidR="00AC1910">
        <w:t xml:space="preserve"> further</w:t>
      </w:r>
      <w:r w:rsidR="00EC1582">
        <w:t xml:space="preserve"> </w:t>
      </w:r>
      <w:r w:rsidR="005E403D">
        <w:t xml:space="preserve">encourage </w:t>
      </w:r>
      <w:r w:rsidR="00EC1582">
        <w:t xml:space="preserve">investments into sustainable products. However, </w:t>
      </w:r>
      <w:r w:rsidR="005E403D">
        <w:t xml:space="preserve">there are many concerns </w:t>
      </w:r>
      <w:r>
        <w:t>with</w:t>
      </w:r>
      <w:r w:rsidR="005E403D">
        <w:t xml:space="preserve"> </w:t>
      </w:r>
      <w:r w:rsidR="00B23084">
        <w:t>how the currently proposed changes</w:t>
      </w:r>
      <w:r w:rsidR="00EC1582">
        <w:t xml:space="preserve"> will </w:t>
      </w:r>
      <w:r w:rsidR="00AC1910">
        <w:t xml:space="preserve">affect </w:t>
      </w:r>
      <w:r w:rsidR="00EC1582">
        <w:t xml:space="preserve">the </w:t>
      </w:r>
      <w:r w:rsidR="00C379D6">
        <w:t>existing and still</w:t>
      </w:r>
      <w:r w:rsidR="00AC1910">
        <w:t>-</w:t>
      </w:r>
      <w:r w:rsidR="00C379D6">
        <w:t>evolving</w:t>
      </w:r>
      <w:r w:rsidR="00EC1582">
        <w:t xml:space="preserve"> MiFID II suitability process</w:t>
      </w:r>
      <w:r w:rsidR="00221615">
        <w:t>,</w:t>
      </w:r>
      <w:r w:rsidR="00C379D6">
        <w:t xml:space="preserve"> as</w:t>
      </w:r>
      <w:r w:rsidR="00B23084">
        <w:t xml:space="preserve"> ESMA’s </w:t>
      </w:r>
      <w:r w:rsidR="00C379D6">
        <w:t>crucial</w:t>
      </w:r>
      <w:r w:rsidR="00B23084">
        <w:t xml:space="preserve"> Level-3 suitability guidelines</w:t>
      </w:r>
      <w:r w:rsidR="00EB6911">
        <w:rPr>
          <w:rStyle w:val="FootnoteReference"/>
        </w:rPr>
        <w:footnoteReference w:id="2"/>
      </w:r>
      <w:r w:rsidR="00B23084">
        <w:t xml:space="preserve"> were only published </w:t>
      </w:r>
      <w:r w:rsidR="00C379D6">
        <w:t>days after the Commission’s publication of this proposal</w:t>
      </w:r>
      <w:r w:rsidR="00B23084">
        <w:t xml:space="preserve">. </w:t>
      </w:r>
      <w:r>
        <w:t>The</w:t>
      </w:r>
      <w:r w:rsidR="00EC1582">
        <w:t xml:space="preserve"> financial industry has </w:t>
      </w:r>
      <w:r w:rsidR="00AC1910">
        <w:t>committ</w:t>
      </w:r>
      <w:r w:rsidR="00D9220E">
        <w:t>ed</w:t>
      </w:r>
      <w:r w:rsidR="00AC1910">
        <w:t xml:space="preserve"> considerable resources both in terms of cost and time </w:t>
      </w:r>
      <w:r w:rsidR="00EC1582">
        <w:t>over the last couple of years to deliver on this new regulatory environment</w:t>
      </w:r>
      <w:r w:rsidR="00AC1910" w:rsidRPr="00AC1910">
        <w:t xml:space="preserve"> </w:t>
      </w:r>
      <w:r w:rsidR="00AC1910">
        <w:t>and provide the best possible outcomes to end-investors</w:t>
      </w:r>
      <w:r w:rsidR="006A23DB">
        <w:t>. S</w:t>
      </w:r>
      <w:r w:rsidR="00EC1582">
        <w:t>ignificant changes, such as incorporating sustainability considerations</w:t>
      </w:r>
      <w:r w:rsidR="00686C67" w:rsidRPr="00686C67">
        <w:t xml:space="preserve"> into suitability tests</w:t>
      </w:r>
      <w:r w:rsidR="00B23084">
        <w:t xml:space="preserve"> in </w:t>
      </w:r>
      <w:r w:rsidR="00AC1910">
        <w:t xml:space="preserve">the </w:t>
      </w:r>
      <w:r w:rsidR="00B23084">
        <w:t>short amount of time</w:t>
      </w:r>
      <w:r w:rsidR="005C7F31">
        <w:t>, as suggested by the European Commission,</w:t>
      </w:r>
      <w:r w:rsidR="00B23084" w:rsidRPr="00686C67">
        <w:t xml:space="preserve"> </w:t>
      </w:r>
      <w:r w:rsidR="00686C67" w:rsidRPr="00686C67">
        <w:t>are likely to delay the much needed i</w:t>
      </w:r>
      <w:r w:rsidR="00686C67">
        <w:t>mplementation of the new MiFID II</w:t>
      </w:r>
      <w:r w:rsidR="00576DAA">
        <w:t xml:space="preserve"> requirements. This</w:t>
      </w:r>
      <w:r w:rsidR="00EC1582">
        <w:t xml:space="preserve"> may create </w:t>
      </w:r>
      <w:r w:rsidR="00404380">
        <w:t xml:space="preserve">additional </w:t>
      </w:r>
      <w:r w:rsidR="00EC1582">
        <w:t>substantial costs</w:t>
      </w:r>
      <w:r w:rsidR="00846AF8">
        <w:t xml:space="preserve">, </w:t>
      </w:r>
      <w:r w:rsidR="00010323">
        <w:t>further ambiguity</w:t>
      </w:r>
      <w:r w:rsidR="00846AF8">
        <w:t xml:space="preserve"> and disruption</w:t>
      </w:r>
      <w:r w:rsidR="00010323">
        <w:t xml:space="preserve"> </w:t>
      </w:r>
      <w:r w:rsidR="00EC1582">
        <w:t>throughout</w:t>
      </w:r>
      <w:r w:rsidR="00404380">
        <w:t xml:space="preserve"> the whole distribution chain</w:t>
      </w:r>
      <w:r w:rsidR="00576DAA">
        <w:t>,</w:t>
      </w:r>
      <w:r w:rsidR="007053C6">
        <w:t xml:space="preserve"> not even a year after the</w:t>
      </w:r>
      <w:r w:rsidR="00B23084">
        <w:t xml:space="preserve"> going</w:t>
      </w:r>
      <w:r w:rsidR="007053C6">
        <w:t xml:space="preserve"> live date</w:t>
      </w:r>
      <w:r w:rsidR="00404380">
        <w:t>.</w:t>
      </w:r>
      <w:r w:rsidR="00483A05">
        <w:t xml:space="preserve"> </w:t>
      </w:r>
      <w:r w:rsidR="00C36564">
        <w:t>It is therefore crucial to allow sufficient time for a proper public debate in order to achieve the intended outcomes.</w:t>
      </w:r>
      <w:r w:rsidR="00EB6911">
        <w:t xml:space="preserve"> </w:t>
      </w:r>
      <w:r w:rsidR="00D9220E">
        <w:t xml:space="preserve">More precisely, we would strongly encourage a phased-in approach in building these new requirements, with longer implementation times and more </w:t>
      </w:r>
      <w:r w:rsidR="00D9220E" w:rsidRPr="0084566E">
        <w:t>consultation with industry participants</w:t>
      </w:r>
      <w:r w:rsidR="00D9220E">
        <w:t>.</w:t>
      </w:r>
    </w:p>
    <w:p w14:paraId="181181D9" w14:textId="77777777" w:rsidR="005C1779" w:rsidRDefault="005C1779" w:rsidP="00455911">
      <w:pPr>
        <w:spacing w:before="0" w:after="0"/>
      </w:pPr>
    </w:p>
    <w:p w14:paraId="72AF2FD4" w14:textId="36A57A17" w:rsidR="005C1779" w:rsidRPr="00EE2799" w:rsidRDefault="005C1779" w:rsidP="00455911">
      <w:pPr>
        <w:spacing w:before="0" w:after="0"/>
        <w:rPr>
          <w:b/>
        </w:rPr>
      </w:pPr>
      <w:r>
        <w:rPr>
          <w:b/>
        </w:rPr>
        <w:t>(2)</w:t>
      </w:r>
      <w:r w:rsidRPr="00EE2799">
        <w:rPr>
          <w:b/>
        </w:rPr>
        <w:t xml:space="preserve"> Sequence of actions and wider economic implications</w:t>
      </w:r>
    </w:p>
    <w:p w14:paraId="1241701B" w14:textId="77777777" w:rsidR="00D9220E" w:rsidRDefault="00846AF8" w:rsidP="00455911">
      <w:pPr>
        <w:spacing w:before="0" w:after="0"/>
      </w:pPr>
      <w:r w:rsidRPr="00846AF8">
        <w:t xml:space="preserve">This goes hand in hand with </w:t>
      </w:r>
      <w:r w:rsidR="006A23DB">
        <w:t xml:space="preserve">another </w:t>
      </w:r>
      <w:r w:rsidR="00B23084">
        <w:t xml:space="preserve">important </w:t>
      </w:r>
      <w:r w:rsidR="006A23DB" w:rsidRPr="005C1779">
        <w:t>point</w:t>
      </w:r>
      <w:r w:rsidRPr="005C1779">
        <w:t>, namely the</w:t>
      </w:r>
      <w:r w:rsidRPr="00B769DD">
        <w:t xml:space="preserve"> sequence of actions</w:t>
      </w:r>
      <w:r w:rsidR="00B23084" w:rsidRPr="00B769DD">
        <w:t xml:space="preserve"> as proposed by the Commission, </w:t>
      </w:r>
      <w:r w:rsidR="00C30814" w:rsidRPr="00B769DD">
        <w:t xml:space="preserve">which </w:t>
      </w:r>
      <w:r w:rsidR="005C7F31" w:rsidRPr="00B769DD">
        <w:t>intends to put</w:t>
      </w:r>
      <w:r w:rsidR="00B23084" w:rsidRPr="00B769DD">
        <w:t xml:space="preserve"> investment processes in place </w:t>
      </w:r>
      <w:r w:rsidRPr="00B769DD">
        <w:t>before a</w:t>
      </w:r>
      <w:r w:rsidR="00B23084" w:rsidRPr="00B769DD">
        <w:t xml:space="preserve"> European </w:t>
      </w:r>
      <w:r w:rsidR="005C7F31" w:rsidRPr="00B769DD">
        <w:t xml:space="preserve">“sustainable” </w:t>
      </w:r>
      <w:r w:rsidRPr="00B769DD">
        <w:t>taxonomy has been developed. For example, how can distributors find</w:t>
      </w:r>
      <w:r w:rsidRPr="00846AF8">
        <w:t xml:space="preserve"> suitable ESG products in the short run or report on the value added by their recommendations while there is still no taxonomy</w:t>
      </w:r>
      <w:r w:rsidR="005C7F31">
        <w:t xml:space="preserve"> in place</w:t>
      </w:r>
      <w:r w:rsidRPr="00846AF8">
        <w:t>?</w:t>
      </w:r>
    </w:p>
    <w:p w14:paraId="231C23BC" w14:textId="77777777" w:rsidR="00D9220E" w:rsidRDefault="00D9220E" w:rsidP="00455911">
      <w:pPr>
        <w:spacing w:before="0" w:after="0"/>
      </w:pPr>
    </w:p>
    <w:p w14:paraId="12570833" w14:textId="50F531A4" w:rsidR="005C1779" w:rsidRDefault="00C32374" w:rsidP="00455911">
      <w:pPr>
        <w:spacing w:before="0" w:after="0"/>
      </w:pPr>
      <w:r>
        <w:t>In our view, environmental, social and governance effects of investments are intrinsically linked to each other. The current proposal therefore</w:t>
      </w:r>
      <w:r w:rsidRPr="00846AF8">
        <w:t xml:space="preserve"> </w:t>
      </w:r>
      <w:r w:rsidR="005C7F31">
        <w:t xml:space="preserve">raises even more questions </w:t>
      </w:r>
      <w:r w:rsidR="00846AF8">
        <w:t xml:space="preserve">given the fact that the </w:t>
      </w:r>
      <w:r w:rsidR="00B23084">
        <w:t>proposed</w:t>
      </w:r>
      <w:r w:rsidR="00846AF8">
        <w:t xml:space="preserve"> legislation on taxonomy </w:t>
      </w:r>
      <w:r w:rsidR="00B23084">
        <w:t>represents the very first stage in</w:t>
      </w:r>
      <w:r w:rsidR="00846AF8" w:rsidRPr="00846AF8">
        <w:t xml:space="preserve"> </w:t>
      </w:r>
      <w:r w:rsidR="00846AF8">
        <w:t>a</w:t>
      </w:r>
      <w:r w:rsidR="00846AF8" w:rsidRPr="00846AF8">
        <w:t xml:space="preserve"> step-by-step process starting </w:t>
      </w:r>
      <w:r w:rsidR="00846AF8">
        <w:t>with climate change mitigation</w:t>
      </w:r>
      <w:r w:rsidR="00846AF8" w:rsidRPr="00846AF8">
        <w:t xml:space="preserve"> to be followed at a later stage by “environment” and “social”</w:t>
      </w:r>
      <w:r w:rsidR="00846AF8">
        <w:t xml:space="preserve"> dimensions</w:t>
      </w:r>
      <w:r w:rsidR="00846AF8" w:rsidRPr="00846AF8">
        <w:t xml:space="preserve">. </w:t>
      </w:r>
      <w:r w:rsidR="00F9616F">
        <w:t>This contradiction is also reflected in the Commission’s draft proposal which correctly references “</w:t>
      </w:r>
      <w:r w:rsidR="00F9616F" w:rsidRPr="00F9616F">
        <w:t>environmentally sustainable investments</w:t>
      </w:r>
      <w:r w:rsidR="00F9616F">
        <w:t>”</w:t>
      </w:r>
      <w:r w:rsidR="00C30814">
        <w:t xml:space="preserve"> of</w:t>
      </w:r>
      <w:r w:rsidR="00F9616F">
        <w:t xml:space="preserve"> the published </w:t>
      </w:r>
      <w:r w:rsidR="00F9616F" w:rsidRPr="00F9616F">
        <w:t xml:space="preserve">taxonomy </w:t>
      </w:r>
      <w:r w:rsidR="00F9616F">
        <w:t>proposal, but only defines “social investment” and “</w:t>
      </w:r>
      <w:r w:rsidR="00F9616F" w:rsidRPr="00F9616F">
        <w:t>good governance</w:t>
      </w:r>
      <w:r w:rsidR="00F9616F">
        <w:t xml:space="preserve">” </w:t>
      </w:r>
      <w:r w:rsidR="00C30814">
        <w:t>in a general manner,</w:t>
      </w:r>
      <w:r w:rsidR="00F9616F">
        <w:t xml:space="preserve"> with no</w:t>
      </w:r>
      <w:r w:rsidR="00C30814">
        <w:t xml:space="preserve"> apparent</w:t>
      </w:r>
      <w:r w:rsidR="00F9616F">
        <w:t xml:space="preserve"> linkage</w:t>
      </w:r>
      <w:r w:rsidR="00C30814">
        <w:t>s</w:t>
      </w:r>
      <w:r w:rsidR="00F9616F">
        <w:t xml:space="preserve"> to further EU taxonomy discussions. </w:t>
      </w:r>
      <w:r w:rsidR="00846AF8" w:rsidRPr="00846AF8">
        <w:t>This</w:t>
      </w:r>
      <w:r w:rsidR="00F9616F">
        <w:t xml:space="preserve"> approach</w:t>
      </w:r>
      <w:r w:rsidR="00846AF8" w:rsidRPr="00846AF8">
        <w:t xml:space="preserve"> </w:t>
      </w:r>
      <w:r w:rsidR="00846AF8">
        <w:t xml:space="preserve">may </w:t>
      </w:r>
      <w:r w:rsidR="00F9616F">
        <w:t xml:space="preserve">not only result </w:t>
      </w:r>
      <w:r w:rsidR="00381CD6">
        <w:t>in</w:t>
      </w:r>
      <w:r w:rsidR="00846AF8" w:rsidRPr="00846AF8">
        <w:t xml:space="preserve"> advice</w:t>
      </w:r>
      <w:r w:rsidR="00381CD6">
        <w:t xml:space="preserve"> on sustainability</w:t>
      </w:r>
      <w:r w:rsidR="00846AF8" w:rsidRPr="00846AF8">
        <w:t xml:space="preserve"> </w:t>
      </w:r>
      <w:r w:rsidR="00F9616F">
        <w:t>being provided in</w:t>
      </w:r>
      <w:r w:rsidR="00846AF8" w:rsidRPr="00846AF8">
        <w:t xml:space="preserve"> a “piecemeal fashion”</w:t>
      </w:r>
      <w:r w:rsidR="00381CD6">
        <w:t xml:space="preserve">, </w:t>
      </w:r>
      <w:r w:rsidR="00F9616F">
        <w:t>but also allow for the parallel development of “</w:t>
      </w:r>
      <w:r w:rsidR="00F9616F" w:rsidRPr="00F9616F">
        <w:t>social investment</w:t>
      </w:r>
      <w:r w:rsidR="00F9616F">
        <w:t>”</w:t>
      </w:r>
      <w:r w:rsidR="00F9616F" w:rsidRPr="00F9616F">
        <w:t xml:space="preserve"> and </w:t>
      </w:r>
      <w:r w:rsidR="00F9616F">
        <w:t>“</w:t>
      </w:r>
      <w:r w:rsidR="00F9616F" w:rsidRPr="00F9616F">
        <w:t>good governance</w:t>
      </w:r>
      <w:r w:rsidR="00F9616F">
        <w:t xml:space="preserve">” standards </w:t>
      </w:r>
      <w:r w:rsidR="00C30814">
        <w:t xml:space="preserve">at </w:t>
      </w:r>
      <w:r w:rsidR="00B14A29">
        <w:t xml:space="preserve">Member State level, </w:t>
      </w:r>
      <w:r w:rsidR="00381CD6">
        <w:t xml:space="preserve">which </w:t>
      </w:r>
      <w:r w:rsidR="00846AF8" w:rsidRPr="00846AF8">
        <w:t>could</w:t>
      </w:r>
      <w:r w:rsidR="007053C6">
        <w:t xml:space="preserve"> </w:t>
      </w:r>
      <w:r w:rsidR="00846AF8" w:rsidRPr="00846AF8">
        <w:t>have serious implication</w:t>
      </w:r>
      <w:r w:rsidR="00B14A29">
        <w:t>s for the cross-border distribution of financial instruments</w:t>
      </w:r>
      <w:r w:rsidR="005C7F31">
        <w:t xml:space="preserve"> and th</w:t>
      </w:r>
      <w:r w:rsidR="00EB6911">
        <w:t xml:space="preserve">e pan-European developments of </w:t>
      </w:r>
      <w:r w:rsidR="005C7F31">
        <w:t>ESG products</w:t>
      </w:r>
      <w:r w:rsidR="00846AF8" w:rsidRPr="00846AF8">
        <w:t xml:space="preserve">. </w:t>
      </w:r>
      <w:r>
        <w:t xml:space="preserve">Hence, we would argue that investment advice should take an integrated approach rather than putting the environmental, social and governance aspects of an investment in separate silos. </w:t>
      </w:r>
    </w:p>
    <w:p w14:paraId="16A14DD2" w14:textId="77777777" w:rsidR="005C1779" w:rsidRDefault="005C1779" w:rsidP="00455911">
      <w:pPr>
        <w:spacing w:before="0" w:after="0"/>
      </w:pPr>
    </w:p>
    <w:p w14:paraId="191FC698" w14:textId="5D937BF4" w:rsidR="00846AF8" w:rsidRDefault="005C1779" w:rsidP="00455911">
      <w:pPr>
        <w:spacing w:before="0" w:after="0"/>
      </w:pPr>
      <w:r>
        <w:lastRenderedPageBreak/>
        <w:t>In addition, we also believe that</w:t>
      </w:r>
      <w:r w:rsidR="00EB6911" w:rsidRPr="00846AF8">
        <w:t xml:space="preserve"> the wider economic implications on non-ESG products must be considered</w:t>
      </w:r>
      <w:r>
        <w:t>.</w:t>
      </w:r>
      <w:r w:rsidR="001E51D5">
        <w:t xml:space="preserve"> </w:t>
      </w:r>
      <w:r>
        <w:t>T</w:t>
      </w:r>
      <w:r w:rsidR="00EB6911" w:rsidRPr="00846AF8">
        <w:t>here is a need to preserve the diversity of investment options for retail investors, including that of not investing in ESG products.</w:t>
      </w:r>
      <w:r w:rsidR="001E51D5">
        <w:t xml:space="preserve"> </w:t>
      </w:r>
    </w:p>
    <w:p w14:paraId="37B6DE19" w14:textId="77777777" w:rsidR="001E51D5" w:rsidRDefault="001E51D5" w:rsidP="00455911">
      <w:pPr>
        <w:spacing w:before="0" w:after="0"/>
      </w:pPr>
    </w:p>
    <w:p w14:paraId="34872512" w14:textId="5071218B" w:rsidR="005C1779" w:rsidRPr="006E75EC" w:rsidRDefault="005C1779" w:rsidP="00455911">
      <w:pPr>
        <w:spacing w:before="0" w:after="0"/>
        <w:rPr>
          <w:b/>
        </w:rPr>
      </w:pPr>
      <w:r>
        <w:rPr>
          <w:b/>
        </w:rPr>
        <w:t xml:space="preserve">(3) </w:t>
      </w:r>
      <w:r w:rsidRPr="006E75EC">
        <w:rPr>
          <w:b/>
        </w:rPr>
        <w:t>What it means in practice</w:t>
      </w:r>
    </w:p>
    <w:p w14:paraId="29D4EBD5" w14:textId="2D90DBDD" w:rsidR="001E51D5" w:rsidRDefault="005C7F31" w:rsidP="00455911">
      <w:pPr>
        <w:spacing w:before="0" w:after="0"/>
      </w:pPr>
      <w:r>
        <w:t>A third crucial aspect</w:t>
      </w:r>
      <w:r w:rsidR="00D72E34">
        <w:t xml:space="preserve"> – from a legal </w:t>
      </w:r>
      <w:r w:rsidR="00D72E34" w:rsidRPr="005C1779">
        <w:t xml:space="preserve">perspective </w:t>
      </w:r>
      <w:r w:rsidR="00010323" w:rsidRPr="005C1779">
        <w:t>–</w:t>
      </w:r>
      <w:r w:rsidR="00D72E34" w:rsidRPr="005C1779">
        <w:t xml:space="preserve"> is</w:t>
      </w:r>
      <w:r w:rsidR="00010323" w:rsidRPr="005C1779">
        <w:t xml:space="preserve"> </w:t>
      </w:r>
      <w:r w:rsidR="00EC1582" w:rsidRPr="005C1779">
        <w:t>what distributors are meant to do with this information</w:t>
      </w:r>
      <w:r w:rsidR="00010323" w:rsidRPr="005C1779">
        <w:t xml:space="preserve"> in their investmen</w:t>
      </w:r>
      <w:r w:rsidR="00010323" w:rsidRPr="00B769DD">
        <w:t>t processes</w:t>
      </w:r>
      <w:r w:rsidR="00D72E34" w:rsidRPr="00B769DD">
        <w:t xml:space="preserve">. This is </w:t>
      </w:r>
      <w:r w:rsidRPr="00B769DD">
        <w:t xml:space="preserve">significant </w:t>
      </w:r>
      <w:r w:rsidR="00D72E34" w:rsidRPr="00B769DD">
        <w:t xml:space="preserve">as all the information received during a suitability test is </w:t>
      </w:r>
      <w:r w:rsidR="00010323" w:rsidRPr="00B769DD">
        <w:t>required</w:t>
      </w:r>
      <w:r w:rsidR="00D72E34" w:rsidRPr="00B769DD">
        <w:t xml:space="preserve"> to inform the choice of financial products</w:t>
      </w:r>
      <w:r w:rsidR="00D72E34">
        <w:t xml:space="preserve"> being offered</w:t>
      </w:r>
      <w:r w:rsidR="00010323">
        <w:t xml:space="preserve"> and being advised on</w:t>
      </w:r>
      <w:r w:rsidR="00D72E34">
        <w:t xml:space="preserve">. Currently these criteria are based </w:t>
      </w:r>
      <w:r w:rsidR="00710C1F">
        <w:t xml:space="preserve">on </w:t>
      </w:r>
      <w:r w:rsidR="00D72E34">
        <w:t xml:space="preserve">the client’s personal situation and risk appetite to be matched with suitable products in terms of costs, returns and risk. </w:t>
      </w:r>
      <w:r w:rsidR="001E51D5">
        <w:t>Even more importantly, suitability should not be seen just as a set of questions asked at a single point in time, but rather as a process which leads to</w:t>
      </w:r>
      <w:r w:rsidR="005C1779">
        <w:t xml:space="preserve"> a</w:t>
      </w:r>
      <w:r w:rsidR="001E51D5">
        <w:t xml:space="preserve"> regular refresh of the client’s requirements and an ongoing assessment of how the instruments chosen continue to meet the client’s requirements. In this context, it is important to underline that e.g. environmentally sustainable investments are not automatically less risky. In our view, </w:t>
      </w:r>
      <w:r w:rsidR="00C32374">
        <w:t xml:space="preserve">sustainable </w:t>
      </w:r>
      <w:r w:rsidR="001E51D5">
        <w:t>investment advice does not overlook investing in businesses just because they fail to tick certain boxes; instead it is also about helping businesses improve their ESG policies and processes thus mitigating risks and identifying opportunities. The draft text could risk that (retail) clients indicating an ESG interest are directed into narrow specific investment types.</w:t>
      </w:r>
    </w:p>
    <w:p w14:paraId="3168F002" w14:textId="77777777" w:rsidR="001E51D5" w:rsidRDefault="001E51D5" w:rsidP="00455911">
      <w:pPr>
        <w:spacing w:before="0" w:after="0"/>
      </w:pPr>
    </w:p>
    <w:p w14:paraId="00059A6C" w14:textId="180CA101" w:rsidR="00D72E34" w:rsidRDefault="005E403D" w:rsidP="00455911">
      <w:pPr>
        <w:spacing w:before="0" w:after="0"/>
      </w:pPr>
      <w:r>
        <w:t xml:space="preserve">The </w:t>
      </w:r>
      <w:r w:rsidR="00D72E34">
        <w:t>question</w:t>
      </w:r>
      <w:r>
        <w:t xml:space="preserve"> therefore</w:t>
      </w:r>
      <w:r w:rsidR="00D72E34">
        <w:t xml:space="preserve"> remain</w:t>
      </w:r>
      <w:r>
        <w:t>s</w:t>
      </w:r>
      <w:r w:rsidR="00710C1F">
        <w:t>:</w:t>
      </w:r>
      <w:r>
        <w:t xml:space="preserve"> </w:t>
      </w:r>
      <w:r w:rsidR="00710C1F" w:rsidRPr="00732E45">
        <w:rPr>
          <w:i/>
        </w:rPr>
        <w:t>h</w:t>
      </w:r>
      <w:r w:rsidR="00D72E34" w:rsidRPr="00732E45">
        <w:rPr>
          <w:i/>
        </w:rPr>
        <w:t>ow</w:t>
      </w:r>
      <w:r w:rsidR="00710C1F" w:rsidRPr="00732E45">
        <w:rPr>
          <w:i/>
        </w:rPr>
        <w:t xml:space="preserve"> will</w:t>
      </w:r>
      <w:r w:rsidR="00D72E34" w:rsidRPr="00732E45">
        <w:rPr>
          <w:i/>
        </w:rPr>
        <w:t xml:space="preserve"> this new process balance</w:t>
      </w:r>
      <w:r w:rsidR="001E51D5" w:rsidRPr="001E51D5">
        <w:rPr>
          <w:i/>
        </w:rPr>
        <w:t xml:space="preserve"> </w:t>
      </w:r>
      <w:r w:rsidR="001E51D5">
        <w:rPr>
          <w:i/>
        </w:rPr>
        <w:t>or “rank” among</w:t>
      </w:r>
      <w:r w:rsidR="00D72E34" w:rsidRPr="00732E45">
        <w:rPr>
          <w:i/>
        </w:rPr>
        <w:t xml:space="preserve"> these existing criteria</w:t>
      </w:r>
      <w:r w:rsidR="00C73D2F" w:rsidRPr="00732E45">
        <w:rPr>
          <w:i/>
        </w:rPr>
        <w:t>,</w:t>
      </w:r>
      <w:r w:rsidR="00D72E34" w:rsidRPr="00732E45">
        <w:rPr>
          <w:i/>
        </w:rPr>
        <w:t xml:space="preserve"> which are very much </w:t>
      </w:r>
      <w:r w:rsidR="007B496E" w:rsidRPr="00732E45">
        <w:rPr>
          <w:i/>
        </w:rPr>
        <w:t>focused</w:t>
      </w:r>
      <w:r w:rsidR="00D72E34" w:rsidRPr="00732E45">
        <w:rPr>
          <w:i/>
        </w:rPr>
        <w:t xml:space="preserve"> on </w:t>
      </w:r>
      <w:r w:rsidR="00D72E34" w:rsidRPr="00732E45">
        <w:rPr>
          <w:i/>
          <w:u w:val="single"/>
        </w:rPr>
        <w:t>financial</w:t>
      </w:r>
      <w:r w:rsidR="00D72E34" w:rsidRPr="00732E45">
        <w:rPr>
          <w:i/>
        </w:rPr>
        <w:t xml:space="preserve"> benefits </w:t>
      </w:r>
      <w:r w:rsidR="00010323" w:rsidRPr="00732E45">
        <w:rPr>
          <w:i/>
        </w:rPr>
        <w:t>and</w:t>
      </w:r>
      <w:r w:rsidR="00D72E34" w:rsidRPr="00732E45">
        <w:rPr>
          <w:i/>
        </w:rPr>
        <w:t xml:space="preserve"> </w:t>
      </w:r>
      <w:r w:rsidR="00D72E34" w:rsidRPr="00732E45">
        <w:rPr>
          <w:i/>
          <w:u w:val="single"/>
        </w:rPr>
        <w:t>financial</w:t>
      </w:r>
      <w:r w:rsidR="00D72E34" w:rsidRPr="00732E45">
        <w:rPr>
          <w:i/>
        </w:rPr>
        <w:t xml:space="preserve"> costs</w:t>
      </w:r>
      <w:r w:rsidR="00C73D2F" w:rsidRPr="00732E45">
        <w:rPr>
          <w:i/>
        </w:rPr>
        <w:t>,</w:t>
      </w:r>
      <w:r w:rsidR="00010323" w:rsidRPr="00732E45">
        <w:rPr>
          <w:i/>
        </w:rPr>
        <w:t xml:space="preserve"> </w:t>
      </w:r>
      <w:r w:rsidR="00B71046" w:rsidRPr="00732E45">
        <w:rPr>
          <w:i/>
        </w:rPr>
        <w:t>with</w:t>
      </w:r>
      <w:r w:rsidR="00010323" w:rsidRPr="00732E45">
        <w:rPr>
          <w:i/>
        </w:rPr>
        <w:t xml:space="preserve"> criteria </w:t>
      </w:r>
      <w:r w:rsidR="00846AF8">
        <w:rPr>
          <w:i/>
        </w:rPr>
        <w:t xml:space="preserve">for measuring </w:t>
      </w:r>
      <w:r w:rsidR="00010323" w:rsidRPr="00732E45">
        <w:rPr>
          <w:i/>
        </w:rPr>
        <w:t>ESG outcomes</w:t>
      </w:r>
      <w:r w:rsidR="001E51D5">
        <w:rPr>
          <w:i/>
        </w:rPr>
        <w:t>, in particular,</w:t>
      </w:r>
      <w:r w:rsidR="00846AF8">
        <w:rPr>
          <w:i/>
        </w:rPr>
        <w:t xml:space="preserve"> before these criteria have been agreed</w:t>
      </w:r>
      <w:r w:rsidR="005C7F31">
        <w:rPr>
          <w:i/>
        </w:rPr>
        <w:t>?</w:t>
      </w:r>
      <w:r w:rsidR="00E93FA9">
        <w:rPr>
          <w:rStyle w:val="FootnoteReference"/>
        </w:rPr>
        <w:footnoteReference w:id="3"/>
      </w:r>
    </w:p>
    <w:p w14:paraId="35E7AA24" w14:textId="77777777" w:rsidR="00C379D6" w:rsidRDefault="00C379D6" w:rsidP="00455911">
      <w:pPr>
        <w:spacing w:before="0" w:after="0"/>
      </w:pPr>
    </w:p>
    <w:p w14:paraId="56156E94" w14:textId="77777777" w:rsidR="005C1779" w:rsidRPr="006E75EC" w:rsidRDefault="005C1779" w:rsidP="00455911">
      <w:pPr>
        <w:spacing w:before="0" w:after="0"/>
        <w:rPr>
          <w:b/>
          <w:u w:val="single"/>
        </w:rPr>
      </w:pPr>
      <w:r w:rsidRPr="006E75EC">
        <w:rPr>
          <w:b/>
          <w:u w:val="single"/>
        </w:rPr>
        <w:t>Conclusion</w:t>
      </w:r>
    </w:p>
    <w:p w14:paraId="2C5DBA2E" w14:textId="2435BCCC" w:rsidR="00483A05" w:rsidRDefault="005C7F31" w:rsidP="00455911">
      <w:pPr>
        <w:spacing w:before="0" w:after="0"/>
      </w:pPr>
      <w:r>
        <w:t>We would like to reiterate that we are mindful of the</w:t>
      </w:r>
      <w:r w:rsidRPr="00710C1F">
        <w:t xml:space="preserve"> Commission</w:t>
      </w:r>
      <w:r>
        <w:t>’s objectives with regard to these changes.</w:t>
      </w:r>
      <w:r w:rsidRPr="005C7F31">
        <w:t xml:space="preserve"> </w:t>
      </w:r>
      <w:r w:rsidR="00483A05">
        <w:t>I</w:t>
      </w:r>
      <w:r>
        <w:t>t is certainly possible to extend the Level-2 framework</w:t>
      </w:r>
      <w:r w:rsidR="00483A05">
        <w:t xml:space="preserve"> in the time and manner</w:t>
      </w:r>
      <w:r>
        <w:t>, as suggested by the European Commission</w:t>
      </w:r>
      <w:r w:rsidR="00483A05">
        <w:t>, to simply ask</w:t>
      </w:r>
      <w:r>
        <w:t xml:space="preserve"> the investor about their disposition towards sustainability</w:t>
      </w:r>
      <w:r w:rsidR="00483A05">
        <w:t>. Nevertheless</w:t>
      </w:r>
      <w:r>
        <w:t xml:space="preserve">, </w:t>
      </w:r>
      <w:r w:rsidRPr="005C7F31">
        <w:t xml:space="preserve">introducing </w:t>
      </w:r>
      <w:r w:rsidR="00483A05">
        <w:t>such important concepts through Delegated Acts, without the proper public debates and missing input from the European co-legislators is not the right preconditions to achieve the intended outcomes.</w:t>
      </w:r>
    </w:p>
    <w:p w14:paraId="11491E65" w14:textId="34086793" w:rsidR="000E77C1" w:rsidRPr="00D8576C" w:rsidRDefault="000E77C1" w:rsidP="00455911">
      <w:pPr>
        <w:spacing w:before="0" w:after="0"/>
      </w:pPr>
    </w:p>
    <w:p w14:paraId="194015EF" w14:textId="1E5DD88B" w:rsidR="00C379D6" w:rsidRPr="00B769DD" w:rsidRDefault="00C379D6" w:rsidP="00455911">
      <w:pPr>
        <w:spacing w:before="0" w:after="0"/>
        <w:rPr>
          <w:b/>
          <w:i/>
          <w:sz w:val="28"/>
          <w:szCs w:val="28"/>
          <w:u w:val="single"/>
        </w:rPr>
      </w:pPr>
      <w:r w:rsidRPr="00B769DD">
        <w:rPr>
          <w:b/>
          <w:i/>
          <w:sz w:val="28"/>
          <w:szCs w:val="28"/>
          <w:u w:val="single"/>
        </w:rPr>
        <w:t>Detailed comments to the draft legislative proposal</w:t>
      </w:r>
    </w:p>
    <w:p w14:paraId="62216A72" w14:textId="77777777" w:rsidR="000E77C1" w:rsidRPr="00C379D6" w:rsidRDefault="000E77C1" w:rsidP="00455911">
      <w:pPr>
        <w:spacing w:before="0" w:after="0"/>
        <w:rPr>
          <w:i/>
          <w:u w:val="single"/>
        </w:rPr>
      </w:pPr>
    </w:p>
    <w:p w14:paraId="5385893F" w14:textId="294F84E1" w:rsidR="00C379D6" w:rsidRDefault="00F9616F" w:rsidP="00455911">
      <w:pPr>
        <w:spacing w:before="0" w:after="0"/>
      </w:pPr>
      <w:r>
        <w:t xml:space="preserve">With these </w:t>
      </w:r>
      <w:r w:rsidR="002C535D">
        <w:t>important</w:t>
      </w:r>
      <w:r>
        <w:t xml:space="preserve"> considerations</w:t>
      </w:r>
      <w:r w:rsidR="00B14A29">
        <w:t xml:space="preserve"> about the correct staging</w:t>
      </w:r>
      <w:r>
        <w:t xml:space="preserve"> </w:t>
      </w:r>
      <w:r w:rsidR="002C535D">
        <w:t>of these ESG initiatives in mind</w:t>
      </w:r>
      <w:r w:rsidR="001E51D5">
        <w:t xml:space="preserve"> and in </w:t>
      </w:r>
      <w:r w:rsidR="005C1779">
        <w:t xml:space="preserve">the event </w:t>
      </w:r>
      <w:r w:rsidR="001E51D5">
        <w:t>of the proposal on the modification of MiFID suitability rules being maintained</w:t>
      </w:r>
      <w:r>
        <w:t xml:space="preserve">, we would also </w:t>
      </w:r>
      <w:r w:rsidR="005C1779">
        <w:t xml:space="preserve">like </w:t>
      </w:r>
      <w:r w:rsidR="00B14A29">
        <w:t>to provide you with the following comments on the draft legislative proposal</w:t>
      </w:r>
      <w:r w:rsidR="004C2AA4">
        <w:t xml:space="preserve"> (in no particular order)</w:t>
      </w:r>
      <w:r w:rsidR="00B14A29">
        <w:t>:</w:t>
      </w:r>
    </w:p>
    <w:p w14:paraId="64BF2E07" w14:textId="77777777" w:rsidR="000E77C1" w:rsidRDefault="000E77C1" w:rsidP="00455911">
      <w:pPr>
        <w:spacing w:before="0" w:after="0"/>
      </w:pPr>
    </w:p>
    <w:p w14:paraId="44FE9A61" w14:textId="78E403D2" w:rsidR="002C535D" w:rsidRDefault="004C2AA4" w:rsidP="00455911">
      <w:pPr>
        <w:numPr>
          <w:ilvl w:val="0"/>
          <w:numId w:val="14"/>
        </w:numPr>
        <w:spacing w:before="0" w:after="0"/>
      </w:pPr>
      <w:r>
        <w:t>w</w:t>
      </w:r>
      <w:r w:rsidR="002C535D">
        <w:t xml:space="preserve">e believe that the assessment of </w:t>
      </w:r>
      <w:r>
        <w:t>“</w:t>
      </w:r>
      <w:r w:rsidRPr="002C535D">
        <w:t>ESG preferences</w:t>
      </w:r>
      <w:r>
        <w:t>” or “</w:t>
      </w:r>
      <w:r w:rsidRPr="002C535D">
        <w:t>ESG considerations</w:t>
      </w:r>
      <w:r>
        <w:t xml:space="preserve">” in Articles 47, 48, 52 and 54 </w:t>
      </w:r>
      <w:r w:rsidR="002C535D">
        <w:t xml:space="preserve">should </w:t>
      </w:r>
      <w:r w:rsidR="0070301A">
        <w:t>apply</w:t>
      </w:r>
      <w:r w:rsidR="002C535D">
        <w:t xml:space="preserve"> to instances were such information is relevant to the </w:t>
      </w:r>
      <w:r w:rsidR="002C535D" w:rsidRPr="002C535D">
        <w:rPr>
          <w:u w:val="single"/>
        </w:rPr>
        <w:t>particular</w:t>
      </w:r>
      <w:r w:rsidR="002C535D" w:rsidRPr="002C535D">
        <w:t xml:space="preserve"> investment advice</w:t>
      </w:r>
      <w:r w:rsidR="002C535D">
        <w:t xml:space="preserve"> or portfolio management processes. We therefore suggest to add in each instance the wording “where</w:t>
      </w:r>
      <w:r w:rsidR="002C535D" w:rsidRPr="002C535D">
        <w:t xml:space="preserve"> relevant</w:t>
      </w:r>
      <w:r w:rsidR="002C535D">
        <w:t>”.</w:t>
      </w:r>
      <w:r w:rsidR="001E51D5" w:rsidRPr="001E51D5">
        <w:t xml:space="preserve"> </w:t>
      </w:r>
      <w:r>
        <w:t xml:space="preserve"> </w:t>
      </w:r>
    </w:p>
    <w:p w14:paraId="2C4A4D10" w14:textId="77777777" w:rsidR="00AC1910" w:rsidRDefault="00AC1910" w:rsidP="00455911">
      <w:pPr>
        <w:spacing w:before="0" w:after="0"/>
        <w:ind w:left="720"/>
      </w:pPr>
    </w:p>
    <w:p w14:paraId="032C89E3" w14:textId="77777777" w:rsidR="00553ACA" w:rsidRDefault="00553ACA" w:rsidP="00455911">
      <w:pPr>
        <w:numPr>
          <w:ilvl w:val="0"/>
          <w:numId w:val="14"/>
        </w:numPr>
        <w:spacing w:before="0" w:after="0"/>
      </w:pPr>
      <w:r>
        <w:lastRenderedPageBreak/>
        <w:t xml:space="preserve">To allow an integrated approach for investment advice we replace the wording in Art. 2 points (7) and (8) “environmentally sustainable investments, social investments or good governance investments” with “environmentally sustainable investments, social investments </w:t>
      </w:r>
      <w:r w:rsidRPr="001C40F7">
        <w:rPr>
          <w:u w:val="single"/>
        </w:rPr>
        <w:t>and</w:t>
      </w:r>
      <w:r>
        <w:t xml:space="preserve"> good governance investments”. </w:t>
      </w:r>
    </w:p>
    <w:p w14:paraId="424C462A" w14:textId="77777777" w:rsidR="00553ACA" w:rsidRDefault="00553ACA" w:rsidP="00455911">
      <w:pPr>
        <w:spacing w:before="0" w:after="0"/>
        <w:ind w:left="720"/>
      </w:pPr>
    </w:p>
    <w:p w14:paraId="51212FEA" w14:textId="382E7132" w:rsidR="002C535D" w:rsidRDefault="002C535D" w:rsidP="00455911">
      <w:pPr>
        <w:numPr>
          <w:ilvl w:val="0"/>
          <w:numId w:val="14"/>
        </w:numPr>
        <w:spacing w:before="0" w:after="0"/>
      </w:pPr>
      <w:r>
        <w:t>In line with the above comment, we consider the Commission’s proposal to insert “</w:t>
      </w:r>
      <w:r w:rsidRPr="002C535D">
        <w:t>ESG considerations</w:t>
      </w:r>
      <w:r>
        <w:t xml:space="preserve">” into Article 48(1) of the Delegated Regulation not in line with the </w:t>
      </w:r>
      <w:r w:rsidRPr="002C535D">
        <w:t>objective and scope of integrat</w:t>
      </w:r>
      <w:r>
        <w:t>ing</w:t>
      </w:r>
      <w:r w:rsidRPr="002C535D">
        <w:t xml:space="preserve"> </w:t>
      </w:r>
      <w:r>
        <w:t>ESG factors in the investment/</w:t>
      </w:r>
      <w:r w:rsidRPr="002C535D">
        <w:t>advisory process</w:t>
      </w:r>
      <w:r>
        <w:t xml:space="preserve">, as this paragraph covers the </w:t>
      </w:r>
      <w:r w:rsidRPr="002C535D">
        <w:t xml:space="preserve">provision of </w:t>
      </w:r>
      <w:r>
        <w:t xml:space="preserve">any investment services including any type of </w:t>
      </w:r>
      <w:r w:rsidRPr="002C535D">
        <w:t>ancillary services</w:t>
      </w:r>
      <w:r>
        <w:t xml:space="preserve"> (such as safekeeping </w:t>
      </w:r>
      <w:r w:rsidR="00F66AD8">
        <w:t>and administration of financial assets).</w:t>
      </w:r>
      <w:r w:rsidR="00DC193E">
        <w:t xml:space="preserve"> We believe that the references should therefore be deleted.</w:t>
      </w:r>
    </w:p>
    <w:p w14:paraId="1D8D93A9" w14:textId="77777777" w:rsidR="00C32374" w:rsidRDefault="00C32374" w:rsidP="00455911">
      <w:pPr>
        <w:spacing w:before="0" w:after="0"/>
      </w:pPr>
    </w:p>
    <w:p w14:paraId="5A4226B7" w14:textId="7182D2A0" w:rsidR="00C32374" w:rsidRDefault="004C2AA4" w:rsidP="00455911">
      <w:pPr>
        <w:numPr>
          <w:ilvl w:val="0"/>
          <w:numId w:val="14"/>
        </w:numPr>
        <w:spacing w:before="0" w:after="0"/>
      </w:pPr>
      <w:r>
        <w:t>Recital 9</w:t>
      </w:r>
      <w:r w:rsidR="00C32374" w:rsidRPr="00C32374">
        <w:t xml:space="preserve"> </w:t>
      </w:r>
      <w:r>
        <w:t>requires</w:t>
      </w:r>
      <w:r w:rsidR="00C32374" w:rsidRPr="00C32374">
        <w:t xml:space="preserve"> investment advisor</w:t>
      </w:r>
      <w:r>
        <w:t>s</w:t>
      </w:r>
      <w:r w:rsidR="00C32374" w:rsidRPr="00C32374">
        <w:t xml:space="preserve"> or portfolio manager</w:t>
      </w:r>
      <w:r>
        <w:t>s</w:t>
      </w:r>
      <w:r w:rsidR="00C32374" w:rsidRPr="00C32374">
        <w:t xml:space="preserve"> </w:t>
      </w:r>
      <w:r>
        <w:t>to recommend</w:t>
      </w:r>
      <w:r w:rsidR="00C32374" w:rsidRPr="00C32374">
        <w:t xml:space="preserve"> </w:t>
      </w:r>
      <w:r>
        <w:t>“</w:t>
      </w:r>
      <w:r w:rsidR="00C32374" w:rsidRPr="00C32374">
        <w:t>the most suitable</w:t>
      </w:r>
      <w:r>
        <w:t>”</w:t>
      </w:r>
      <w:r w:rsidR="00C32374" w:rsidRPr="00C32374">
        <w:t xml:space="preserve"> product</w:t>
      </w:r>
      <w:r>
        <w:t xml:space="preserve"> to the client</w:t>
      </w:r>
      <w:r w:rsidR="00C32374" w:rsidRPr="00C32374">
        <w:t xml:space="preserve">. This is not in line with the MiFID II requirements which require investment advisors to find </w:t>
      </w:r>
      <w:r>
        <w:t>“</w:t>
      </w:r>
      <w:r w:rsidR="00C32374" w:rsidRPr="00C32374">
        <w:t>a suitable</w:t>
      </w:r>
      <w:r>
        <w:t>”</w:t>
      </w:r>
      <w:r w:rsidR="00C32374" w:rsidRPr="00C32374">
        <w:t xml:space="preserve"> product. Given the range of products investors and investment firms can choose from, it would in practice not be feasible to identify the most suitable product.</w:t>
      </w:r>
      <w:r w:rsidR="005C1779">
        <w:t xml:space="preserve"> T</w:t>
      </w:r>
      <w:r w:rsidR="00C32374" w:rsidRPr="00C32374">
        <w:t xml:space="preserve">he </w:t>
      </w:r>
      <w:r>
        <w:t>proposal</w:t>
      </w:r>
      <w:r w:rsidR="00C32374" w:rsidRPr="00C32374">
        <w:t xml:space="preserve"> should </w:t>
      </w:r>
      <w:r w:rsidR="005C1779">
        <w:t xml:space="preserve">therefore </w:t>
      </w:r>
      <w:r w:rsidR="00C32374" w:rsidRPr="00C32374">
        <w:t>be amended accordingly.</w:t>
      </w:r>
      <w:r>
        <w:t xml:space="preserve"> </w:t>
      </w:r>
    </w:p>
    <w:p w14:paraId="3C60220A" w14:textId="77777777" w:rsidR="001E51D5" w:rsidRDefault="001E51D5" w:rsidP="00455911">
      <w:pPr>
        <w:spacing w:before="0" w:after="0"/>
      </w:pPr>
    </w:p>
    <w:p w14:paraId="4F06B32C" w14:textId="77777777" w:rsidR="001E51D5" w:rsidRDefault="001E51D5" w:rsidP="00455911">
      <w:pPr>
        <w:spacing w:before="0" w:after="0"/>
      </w:pPr>
      <w:r w:rsidRPr="005C7F31">
        <w:t>We are grateful in advance for your attention to the concerns expressed in this response and we welcome the opportunity to discuss these with you in further detail. In case there is any additional information that we can provide, please contact EFAMA at info@efama.org or +32 (0) 2513 3969.</w:t>
      </w:r>
    </w:p>
    <w:p w14:paraId="606E9CA6" w14:textId="77777777" w:rsidR="00F3612E" w:rsidRDefault="00F3612E" w:rsidP="00455911">
      <w:pPr>
        <w:spacing w:before="0" w:after="0"/>
      </w:pPr>
    </w:p>
    <w:p w14:paraId="59DD8E3A" w14:textId="77777777" w:rsidR="00455911" w:rsidRDefault="00455911" w:rsidP="00455911">
      <w:pPr>
        <w:spacing w:before="0" w:after="0"/>
      </w:pPr>
    </w:p>
    <w:p w14:paraId="23A6288E" w14:textId="77777777" w:rsidR="00455911" w:rsidRDefault="00455911" w:rsidP="00455911">
      <w:pPr>
        <w:spacing w:before="0" w:after="0"/>
      </w:pPr>
    </w:p>
    <w:p w14:paraId="7B4DCC85" w14:textId="690AAEB7" w:rsidR="00455911" w:rsidRDefault="00455911" w:rsidP="00455911">
      <w:pPr>
        <w:spacing w:before="0" w:after="0"/>
        <w:jc w:val="center"/>
      </w:pPr>
      <w:r>
        <w:t>* * *</w:t>
      </w:r>
    </w:p>
    <w:p w14:paraId="13D37741" w14:textId="77777777" w:rsidR="005C1779" w:rsidRDefault="005C1779" w:rsidP="00455911">
      <w:pPr>
        <w:spacing w:before="0" w:after="0"/>
        <w:jc w:val="right"/>
      </w:pPr>
    </w:p>
    <w:p w14:paraId="42D74527" w14:textId="047599AB" w:rsidR="005C1779" w:rsidRDefault="005C1779" w:rsidP="00455911">
      <w:pPr>
        <w:spacing w:before="0" w:after="0"/>
        <w:jc w:val="left"/>
      </w:pPr>
      <w:r>
        <w:t>Brussels, 2</w:t>
      </w:r>
      <w:r w:rsidR="00455911">
        <w:t>7</w:t>
      </w:r>
      <w:r w:rsidR="00C656E4">
        <w:t xml:space="preserve"> June </w:t>
      </w:r>
      <w:r>
        <w:t>2018</w:t>
      </w:r>
    </w:p>
    <w:p w14:paraId="2E94DCD6" w14:textId="1FE8BB8F" w:rsidR="00455911" w:rsidRPr="00455911" w:rsidRDefault="00455911" w:rsidP="00455911">
      <w:pPr>
        <w:spacing w:before="0" w:after="0"/>
        <w:jc w:val="left"/>
        <w:rPr>
          <w:sz w:val="18"/>
        </w:rPr>
      </w:pPr>
      <w:r w:rsidRPr="00455911">
        <w:rPr>
          <w:sz w:val="18"/>
        </w:rPr>
        <w:t>[18-4033]</w:t>
      </w:r>
    </w:p>
    <w:sectPr w:rsidR="00455911" w:rsidRPr="00455911" w:rsidSect="00A67F85">
      <w:headerReference w:type="default" r:id="rId9"/>
      <w:footerReference w:type="default" r:id="rId10"/>
      <w:headerReference w:type="first" r:id="rId11"/>
      <w:footerReference w:type="first" r:id="rId12"/>
      <w:type w:val="continuous"/>
      <w:pgSz w:w="11906" w:h="16838" w:code="9"/>
      <w:pgMar w:top="425" w:right="851" w:bottom="454" w:left="1418" w:header="454" w:footer="397"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73631A" w14:textId="77777777" w:rsidR="002F6923" w:rsidRDefault="002F6923" w:rsidP="00265286">
      <w:r>
        <w:separator/>
      </w:r>
    </w:p>
    <w:p w14:paraId="0C56C72B" w14:textId="77777777" w:rsidR="00993DCB" w:rsidRDefault="00993DCB" w:rsidP="00265286"/>
  </w:endnote>
  <w:endnote w:type="continuationSeparator" w:id="0">
    <w:p w14:paraId="235CC10B" w14:textId="77777777" w:rsidR="002F6923" w:rsidRDefault="002F6923" w:rsidP="00265286">
      <w:r>
        <w:continuationSeparator/>
      </w:r>
    </w:p>
    <w:p w14:paraId="2DBFED7C" w14:textId="77777777" w:rsidR="00993DCB" w:rsidRDefault="00993DCB" w:rsidP="002652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7840381"/>
      <w:docPartObj>
        <w:docPartGallery w:val="Page Numbers (Bottom of Page)"/>
        <w:docPartUnique/>
      </w:docPartObj>
    </w:sdtPr>
    <w:sdtContent>
      <w:sdt>
        <w:sdtPr>
          <w:id w:val="1728636285"/>
          <w:docPartObj>
            <w:docPartGallery w:val="Page Numbers (Top of Page)"/>
            <w:docPartUnique/>
          </w:docPartObj>
        </w:sdtPr>
        <w:sdtContent>
          <w:p w14:paraId="6FDFE66D" w14:textId="0BF70DA3" w:rsidR="00455911" w:rsidRDefault="0045591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4</w:t>
            </w:r>
            <w:r>
              <w:rPr>
                <w:b/>
                <w:bCs/>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342F4" w14:textId="77777777" w:rsidR="00455911" w:rsidRPr="00A73174" w:rsidRDefault="00455911" w:rsidP="005B2FE9">
    <w:pPr>
      <w:spacing w:after="0" w:line="240" w:lineRule="auto"/>
      <w:ind w:right="-284"/>
      <w:rPr>
        <w:noProof/>
        <w:color w:val="0000FF"/>
        <w:sz w:val="18"/>
        <w:szCs w:val="20"/>
        <w:lang w:val="fr-FR"/>
      </w:rPr>
    </w:pPr>
    <w:r w:rsidRPr="00A73174">
      <w:rPr>
        <w:rFonts w:cs="Tahoma"/>
        <w:noProof/>
        <w:color w:val="0000FF"/>
        <w:sz w:val="18"/>
        <w:szCs w:val="20"/>
        <w:lang w:val="fr-FR"/>
      </w:rPr>
      <w:t>rue Montoyer 47, B-1000 Bruxelles</w:t>
    </w:r>
  </w:p>
  <w:p w14:paraId="1D6C6DC6" w14:textId="77777777" w:rsidR="00455911" w:rsidRPr="005B2FE9" w:rsidRDefault="00455911" w:rsidP="005B2FE9">
    <w:pPr>
      <w:pBdr>
        <w:top w:val="single" w:sz="4" w:space="1" w:color="0000FF"/>
      </w:pBdr>
      <w:tabs>
        <w:tab w:val="center" w:pos="4153"/>
        <w:tab w:val="right" w:pos="8306"/>
      </w:tabs>
      <w:spacing w:after="0" w:line="240" w:lineRule="auto"/>
      <w:ind w:right="-284"/>
      <w:rPr>
        <w:sz w:val="18"/>
        <w:szCs w:val="20"/>
        <w:lang w:val="fr-BE"/>
      </w:rPr>
    </w:pPr>
    <w:r w:rsidRPr="00470D26">
      <w:rPr>
        <w:color w:val="0000FF"/>
        <w:sz w:val="18"/>
        <w:szCs w:val="20"/>
      </w:rPr>
      <w:sym w:font="Wingdings" w:char="0028"/>
    </w:r>
    <w:r w:rsidRPr="009C3029">
      <w:rPr>
        <w:color w:val="0000FF"/>
        <w:sz w:val="18"/>
        <w:szCs w:val="20"/>
        <w:lang w:val="fr-BE"/>
      </w:rPr>
      <w:t xml:space="preserve"> +32 2 513 39 69  </w:t>
    </w:r>
    <w:r w:rsidRPr="00470D26">
      <w:rPr>
        <w:color w:val="0000FF"/>
        <w:sz w:val="18"/>
        <w:szCs w:val="20"/>
        <w:lang w:val="fr-BE"/>
      </w:rPr>
      <w:sym w:font="Symbol" w:char="00B7"/>
    </w:r>
    <w:r w:rsidRPr="009C3029">
      <w:rPr>
        <w:color w:val="0000FF"/>
        <w:sz w:val="18"/>
        <w:szCs w:val="20"/>
        <w:lang w:val="fr-BE"/>
      </w:rPr>
      <w:t xml:space="preserve">  Fax +32 2 513 26 43  </w:t>
    </w:r>
    <w:r w:rsidRPr="00470D26">
      <w:rPr>
        <w:color w:val="0000FF"/>
        <w:sz w:val="18"/>
        <w:szCs w:val="20"/>
        <w:lang w:val="fr-BE"/>
      </w:rPr>
      <w:sym w:font="Symbol" w:char="00B7"/>
    </w:r>
    <w:r w:rsidRPr="009C3029">
      <w:rPr>
        <w:color w:val="0000FF"/>
        <w:sz w:val="18"/>
        <w:szCs w:val="20"/>
        <w:lang w:val="fr-BE"/>
      </w:rPr>
      <w:t xml:space="preserve">  e-mail : </w:t>
    </w:r>
    <w:hyperlink r:id="rId1" w:history="1">
      <w:r w:rsidRPr="009C3029">
        <w:rPr>
          <w:color w:val="0000FF"/>
          <w:sz w:val="18"/>
          <w:szCs w:val="20"/>
          <w:u w:val="single"/>
          <w:lang w:val="fr-BE"/>
        </w:rPr>
        <w:t>info@efama.org</w:t>
      </w:r>
    </w:hyperlink>
    <w:r w:rsidRPr="009C3029">
      <w:rPr>
        <w:color w:val="0000FF"/>
        <w:sz w:val="18"/>
        <w:szCs w:val="20"/>
        <w:lang w:val="fr-BE"/>
      </w:rPr>
      <w:t xml:space="preserve">  </w:t>
    </w:r>
    <w:r w:rsidRPr="00470D26">
      <w:rPr>
        <w:color w:val="0000FF"/>
        <w:sz w:val="18"/>
        <w:szCs w:val="20"/>
        <w:lang w:val="fr-BE"/>
      </w:rPr>
      <w:sym w:font="Symbol" w:char="00B7"/>
    </w:r>
    <w:r w:rsidRPr="009C3029">
      <w:rPr>
        <w:color w:val="0000FF"/>
        <w:sz w:val="18"/>
        <w:szCs w:val="20"/>
        <w:lang w:val="fr-BE"/>
      </w:rPr>
      <w:t xml:space="preserve">  </w:t>
    </w:r>
    <w:hyperlink r:id="rId2" w:history="1">
      <w:r w:rsidRPr="009C3029">
        <w:rPr>
          <w:color w:val="0000FF"/>
          <w:sz w:val="18"/>
          <w:szCs w:val="20"/>
          <w:u w:val="single"/>
          <w:lang w:val="fr-BE"/>
        </w:rPr>
        <w:t>www.efama.org</w:t>
      </w:r>
    </w:hyperlink>
    <w:r w:rsidRPr="009C3029">
      <w:rPr>
        <w:color w:val="0000FF"/>
        <w:sz w:val="18"/>
        <w:szCs w:val="20"/>
        <w:lang w:val="fr-BE"/>
      </w:rPr>
      <w:t xml:space="preserve"> </w:t>
    </w:r>
    <w:r w:rsidRPr="009C3029">
      <w:rPr>
        <w:color w:val="0000FF"/>
        <w:sz w:val="18"/>
        <w:szCs w:val="20"/>
        <w:lang w:val="fr-BE"/>
      </w:rPr>
      <w:tab/>
    </w:r>
    <w:r w:rsidRPr="00470D26">
      <w:rPr>
        <w:color w:val="0000FF"/>
        <w:sz w:val="18"/>
        <w:szCs w:val="20"/>
        <w:lang w:val="fr-BE"/>
      </w:rPr>
      <w:sym w:font="Symbol" w:char="00B7"/>
    </w:r>
    <w:r w:rsidRPr="009C3029">
      <w:rPr>
        <w:color w:val="0000FF"/>
        <w:sz w:val="18"/>
        <w:szCs w:val="20"/>
        <w:lang w:val="fr-BE"/>
      </w:rPr>
      <w:t xml:space="preserve">  VAT Nr BE 0446.651.445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F98C46" w14:textId="77777777" w:rsidR="002F6923" w:rsidRDefault="002F6923" w:rsidP="00265286">
      <w:r>
        <w:separator/>
      </w:r>
    </w:p>
    <w:p w14:paraId="0A5BB924" w14:textId="77777777" w:rsidR="00993DCB" w:rsidRDefault="00993DCB" w:rsidP="00265286"/>
  </w:footnote>
  <w:footnote w:type="continuationSeparator" w:id="0">
    <w:p w14:paraId="2DF504B1" w14:textId="77777777" w:rsidR="002F6923" w:rsidRDefault="002F6923" w:rsidP="00265286">
      <w:r>
        <w:continuationSeparator/>
      </w:r>
    </w:p>
    <w:p w14:paraId="14BC6AD8" w14:textId="77777777" w:rsidR="00993DCB" w:rsidRDefault="00993DCB" w:rsidP="00265286"/>
  </w:footnote>
  <w:footnote w:id="1">
    <w:p w14:paraId="3F56F56A" w14:textId="4BE213B0" w:rsidR="00265286" w:rsidRPr="000E77C1" w:rsidRDefault="00265286" w:rsidP="000E77C1">
      <w:pPr>
        <w:pStyle w:val="Default"/>
        <w:widowControl w:val="0"/>
        <w:jc w:val="both"/>
        <w:rPr>
          <w:rFonts w:asciiTheme="minorHAnsi" w:eastAsia="Calibri" w:hAnsiTheme="minorHAnsi" w:cs="Calibri"/>
          <w:sz w:val="20"/>
          <w:szCs w:val="18"/>
          <w:lang w:val="en-GB"/>
        </w:rPr>
      </w:pPr>
      <w:r w:rsidRPr="00C379D6">
        <w:rPr>
          <w:rStyle w:val="FootnoteReference"/>
          <w:rFonts w:asciiTheme="minorHAnsi" w:hAnsiTheme="minorHAnsi"/>
          <w:sz w:val="20"/>
          <w:szCs w:val="18"/>
        </w:rPr>
        <w:footnoteRef/>
      </w:r>
      <w:r w:rsidRPr="00C379D6">
        <w:rPr>
          <w:rFonts w:asciiTheme="minorHAnsi" w:hAnsiTheme="minorHAnsi"/>
          <w:sz w:val="20"/>
          <w:szCs w:val="18"/>
        </w:rPr>
        <w:t xml:space="preserve"> </w:t>
      </w:r>
      <w:r w:rsidRPr="00C379D6">
        <w:rPr>
          <w:rFonts w:asciiTheme="minorHAnsi" w:eastAsia="Calibri" w:hAnsiTheme="minorHAnsi" w:cs="Calibri"/>
          <w:sz w:val="20"/>
          <w:szCs w:val="18"/>
          <w:lang w:val="en-GB"/>
        </w:rPr>
        <w:t xml:space="preserve">EFAMA is the representative association for the European investment management industry. EFAMA represents through its 28 member associations and 62 corporate members close to EUR 23 trillion in assets under management of which EUR 14.1 trillion managed by 58,400 investment funds at end 2016. Just over 30,600 of these funds were UCITS (Undertakings for Collective Investments in Transferable Securities) funds, with the remaining 27,800 funds composed of AIFs (Alternative Investment Funds). For more information about EFAMA, please visit </w:t>
      </w:r>
      <w:hyperlink r:id="rId1" w:history="1">
        <w:r w:rsidRPr="00C379D6">
          <w:rPr>
            <w:rStyle w:val="Hyperlink"/>
            <w:rFonts w:asciiTheme="minorHAnsi" w:eastAsia="Calibri" w:hAnsiTheme="minorHAnsi" w:cs="Calibri"/>
            <w:sz w:val="20"/>
            <w:szCs w:val="18"/>
            <w:lang w:val="en-GB"/>
          </w:rPr>
          <w:t>www.efama.org</w:t>
        </w:r>
      </w:hyperlink>
      <w:r w:rsidRPr="00C379D6">
        <w:rPr>
          <w:rFonts w:asciiTheme="minorHAnsi" w:eastAsia="Calibri" w:hAnsiTheme="minorHAnsi" w:cs="Calibri"/>
          <w:sz w:val="20"/>
          <w:szCs w:val="18"/>
          <w:lang w:val="en-GB"/>
        </w:rPr>
        <w:t>.</w:t>
      </w:r>
    </w:p>
  </w:footnote>
  <w:footnote w:id="2">
    <w:p w14:paraId="5FC2E744" w14:textId="0AB95062" w:rsidR="00EB6911" w:rsidRPr="00C36564" w:rsidRDefault="00EB6911" w:rsidP="00EB6911">
      <w:pPr>
        <w:pStyle w:val="FootnoteText"/>
      </w:pPr>
      <w:r>
        <w:rPr>
          <w:rStyle w:val="FootnoteReference"/>
        </w:rPr>
        <w:footnoteRef/>
      </w:r>
      <w:r>
        <w:t xml:space="preserve"> The ESMA guidelines, in its final version, are </w:t>
      </w:r>
      <w:r w:rsidRPr="00EB6911">
        <w:t xml:space="preserve">for the first time </w:t>
      </w:r>
      <w:r>
        <w:t xml:space="preserve">suggesting that it should be </w:t>
      </w:r>
      <w:r w:rsidRPr="00EB6911">
        <w:t>good practice for investment advisors and portfolio managers to enquire about an investor’s ESG preferences</w:t>
      </w:r>
      <w:r>
        <w:t>. There was no public debate over this good practice which was added unilaterally to better align the ESMA guidelines with the Commission’s proposals.</w:t>
      </w:r>
    </w:p>
  </w:footnote>
  <w:footnote w:id="3">
    <w:p w14:paraId="0557DB36" w14:textId="0A920F0A" w:rsidR="00E93FA9" w:rsidRPr="00265286" w:rsidRDefault="00E93FA9" w:rsidP="00265286">
      <w:pPr>
        <w:pStyle w:val="FootnoteText"/>
      </w:pPr>
      <w:r w:rsidRPr="00265286">
        <w:rPr>
          <w:rStyle w:val="FootnoteReference"/>
          <w:rFonts w:asciiTheme="minorHAnsi" w:hAnsiTheme="minorHAnsi"/>
        </w:rPr>
        <w:footnoteRef/>
      </w:r>
      <w:r w:rsidRPr="00265286">
        <w:t xml:space="preserve"> For example, Article 54(11) of the MiFID Implementing Regulation requires “investment advice or portfolio management services that involve switching investments […] to demonstrate that the benefits of switching are greater than the costs”.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957881841"/>
      <w:docPartObj>
        <w:docPartGallery w:val="Page Numbers (Top of Page)"/>
        <w:docPartUnique/>
      </w:docPartObj>
    </w:sdtPr>
    <w:sdtEndPr>
      <w:rPr>
        <w:noProof/>
        <w:sz w:val="22"/>
      </w:rPr>
    </w:sdtEndPr>
    <w:sdtContent>
      <w:p w14:paraId="5213717D" w14:textId="6401929F" w:rsidR="00C379D6" w:rsidRPr="00F66AD8" w:rsidRDefault="00265286" w:rsidP="00455911">
        <w:pPr>
          <w:pStyle w:val="Header"/>
          <w:pBdr>
            <w:bottom w:val="single" w:sz="4" w:space="1" w:color="auto"/>
          </w:pBdr>
          <w:jc w:val="right"/>
          <w:rPr>
            <w:rFonts w:asciiTheme="minorHAnsi" w:eastAsia="Arial" w:hAnsiTheme="minorHAnsi" w:cs="Arial"/>
            <w:snapToGrid/>
            <w:spacing w:val="0"/>
            <w:sz w:val="20"/>
          </w:rPr>
        </w:pPr>
        <w:r w:rsidRPr="00F66AD8">
          <w:rPr>
            <w:rFonts w:asciiTheme="minorHAnsi" w:eastAsia="Arial" w:hAnsiTheme="minorHAnsi" w:cs="Arial"/>
            <w:snapToGrid/>
            <w:spacing w:val="0"/>
            <w:sz w:val="20"/>
          </w:rPr>
          <w:t>EFAMA</w:t>
        </w:r>
        <w:r w:rsidR="00C379D6" w:rsidRPr="00F66AD8">
          <w:rPr>
            <w:rFonts w:asciiTheme="minorHAnsi" w:eastAsia="Arial" w:hAnsiTheme="minorHAnsi" w:cs="Arial"/>
            <w:snapToGrid/>
            <w:spacing w:val="0"/>
            <w:sz w:val="20"/>
          </w:rPr>
          <w:t>’s</w:t>
        </w:r>
        <w:r w:rsidRPr="00F66AD8">
          <w:rPr>
            <w:rFonts w:asciiTheme="minorHAnsi" w:eastAsia="Arial" w:hAnsiTheme="minorHAnsi" w:cs="Arial"/>
            <w:snapToGrid/>
            <w:spacing w:val="0"/>
            <w:sz w:val="20"/>
          </w:rPr>
          <w:t xml:space="preserve"> response to EC's sustainable Finance Initiative - MiFID II suitability requirements</w:t>
        </w:r>
      </w:p>
      <w:p w14:paraId="631DBF67" w14:textId="4EF5BBE0" w:rsidR="00993DCB" w:rsidRDefault="00455911" w:rsidP="00F66AD8">
        <w:pPr>
          <w:pStyle w:val="Heade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0984F" w14:textId="426DF6D5" w:rsidR="00000277" w:rsidRDefault="00000277" w:rsidP="00265286">
    <w:pPr>
      <w:pStyle w:val="Header"/>
    </w:pPr>
    <w:r w:rsidRPr="00000277">
      <w:rPr>
        <w:noProof/>
        <w:lang w:val="nl-BE" w:eastAsia="nl-BE"/>
      </w:rPr>
      <w:drawing>
        <wp:inline distT="0" distB="0" distL="0" distR="0" wp14:anchorId="0FA313C9" wp14:editId="7E3AC7A7">
          <wp:extent cx="1444752" cy="771144"/>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fama_text_resent by VDB May 08_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4752" cy="77114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8EAC450"/>
    <w:lvl w:ilvl="0">
      <w:numFmt w:val="decimal"/>
      <w:lvlText w:val="*"/>
      <w:lvlJc w:val="left"/>
    </w:lvl>
  </w:abstractNum>
  <w:abstractNum w:abstractNumId="1" w15:restartNumberingAfterBreak="0">
    <w:nsid w:val="0D3B4F5C"/>
    <w:multiLevelType w:val="hybridMultilevel"/>
    <w:tmpl w:val="7AF4813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15:restartNumberingAfterBreak="0">
    <w:nsid w:val="0DA35404"/>
    <w:multiLevelType w:val="hybridMultilevel"/>
    <w:tmpl w:val="A5202594"/>
    <w:lvl w:ilvl="0" w:tplc="A6DE2C64">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5D1815"/>
    <w:multiLevelType w:val="singleLevel"/>
    <w:tmpl w:val="6F324C6E"/>
    <w:lvl w:ilvl="0">
      <w:start w:val="1"/>
      <w:numFmt w:val="bullet"/>
      <w:pStyle w:val="Ausbildung"/>
      <w:lvlText w:val=""/>
      <w:lvlJc w:val="left"/>
      <w:pPr>
        <w:tabs>
          <w:tab w:val="num" w:pos="360"/>
        </w:tabs>
        <w:ind w:left="240" w:hanging="240"/>
      </w:pPr>
      <w:rPr>
        <w:rFonts w:ascii="Wingdings" w:hAnsi="Wingdings" w:hint="default"/>
        <w:sz w:val="14"/>
      </w:rPr>
    </w:lvl>
  </w:abstractNum>
  <w:abstractNum w:abstractNumId="4" w15:restartNumberingAfterBreak="0">
    <w:nsid w:val="13C76AFB"/>
    <w:multiLevelType w:val="hybridMultilevel"/>
    <w:tmpl w:val="645E08E6"/>
    <w:lvl w:ilvl="0" w:tplc="5C36F444">
      <w:start w:val="16"/>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7BD5A27"/>
    <w:multiLevelType w:val="hybridMultilevel"/>
    <w:tmpl w:val="988A58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9B64B6"/>
    <w:multiLevelType w:val="hybridMultilevel"/>
    <w:tmpl w:val="DC706CB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88874F8"/>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C8E49ED"/>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3C9D0B7C"/>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44F0796A"/>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89C3A96"/>
    <w:multiLevelType w:val="hybridMultilevel"/>
    <w:tmpl w:val="8B189B1E"/>
    <w:lvl w:ilvl="0" w:tplc="9DEAC378">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5317CE"/>
    <w:multiLevelType w:val="hybridMultilevel"/>
    <w:tmpl w:val="F89E86A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521702A6"/>
    <w:multiLevelType w:val="hybridMultilevel"/>
    <w:tmpl w:val="5DD2AC0C"/>
    <w:lvl w:ilvl="0" w:tplc="7982FA42">
      <w:start w:val="19"/>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6F6A6B"/>
    <w:multiLevelType w:val="hybridMultilevel"/>
    <w:tmpl w:val="8C7C081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5" w15:restartNumberingAfterBreak="0">
    <w:nsid w:val="69B50740"/>
    <w:multiLevelType w:val="hybridMultilevel"/>
    <w:tmpl w:val="15D6135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6" w15:restartNumberingAfterBreak="0">
    <w:nsid w:val="6B5C769A"/>
    <w:multiLevelType w:val="singleLevel"/>
    <w:tmpl w:val="0407000D"/>
    <w:lvl w:ilvl="0">
      <w:start w:val="1"/>
      <w:numFmt w:val="bullet"/>
      <w:lvlText w:val=""/>
      <w:lvlJc w:val="left"/>
      <w:pPr>
        <w:tabs>
          <w:tab w:val="num" w:pos="360"/>
        </w:tabs>
        <w:ind w:left="360" w:hanging="360"/>
      </w:pPr>
      <w:rPr>
        <w:rFonts w:ascii="Wingdings" w:hAnsi="Wingdings" w:hint="default"/>
      </w:rPr>
    </w:lvl>
  </w:abstractNum>
  <w:num w:numId="1">
    <w:abstractNumId w:val="0"/>
    <w:lvlOverride w:ilvl="0">
      <w:lvl w:ilvl="0">
        <w:start w:val="1"/>
        <w:numFmt w:val="bullet"/>
        <w:lvlText w:val=""/>
        <w:legacy w:legacy="1" w:legacySpace="0" w:legacyIndent="240"/>
        <w:lvlJc w:val="left"/>
        <w:pPr>
          <w:ind w:left="240" w:hanging="240"/>
        </w:pPr>
        <w:rPr>
          <w:rFonts w:ascii="Wingdings" w:hAnsi="Wingdings" w:hint="default"/>
          <w:sz w:val="14"/>
        </w:rPr>
      </w:lvl>
    </w:lvlOverride>
  </w:num>
  <w:num w:numId="2">
    <w:abstractNumId w:val="16"/>
  </w:num>
  <w:num w:numId="3">
    <w:abstractNumId w:val="8"/>
  </w:num>
  <w:num w:numId="4">
    <w:abstractNumId w:val="10"/>
  </w:num>
  <w:num w:numId="5">
    <w:abstractNumId w:val="9"/>
  </w:num>
  <w:num w:numId="6">
    <w:abstractNumId w:val="7"/>
  </w:num>
  <w:num w:numId="7">
    <w:abstractNumId w:val="3"/>
  </w:num>
  <w:num w:numId="8">
    <w:abstractNumId w:val="6"/>
  </w:num>
  <w:num w:numId="9">
    <w:abstractNumId w:val="14"/>
  </w:num>
  <w:num w:numId="10">
    <w:abstractNumId w:val="4"/>
  </w:num>
  <w:num w:numId="11">
    <w:abstractNumId w:val="13"/>
  </w:num>
  <w:num w:numId="12">
    <w:abstractNumId w:val="2"/>
  </w:num>
  <w:num w:numId="13">
    <w:abstractNumId w:val="12"/>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820"/>
    <w:rsid w:val="00000277"/>
    <w:rsid w:val="00010323"/>
    <w:rsid w:val="00010E62"/>
    <w:rsid w:val="000259A6"/>
    <w:rsid w:val="00031060"/>
    <w:rsid w:val="00034F7B"/>
    <w:rsid w:val="0003514D"/>
    <w:rsid w:val="00047FBC"/>
    <w:rsid w:val="00057FD7"/>
    <w:rsid w:val="00067761"/>
    <w:rsid w:val="00082F3C"/>
    <w:rsid w:val="000869C3"/>
    <w:rsid w:val="000936C4"/>
    <w:rsid w:val="00096AB3"/>
    <w:rsid w:val="000A7F62"/>
    <w:rsid w:val="000B1329"/>
    <w:rsid w:val="000B7EE0"/>
    <w:rsid w:val="000C05AA"/>
    <w:rsid w:val="000C3364"/>
    <w:rsid w:val="000C4EE3"/>
    <w:rsid w:val="000D4FF4"/>
    <w:rsid w:val="000E77C1"/>
    <w:rsid w:val="0011066C"/>
    <w:rsid w:val="00110DF5"/>
    <w:rsid w:val="00124DD5"/>
    <w:rsid w:val="00141C96"/>
    <w:rsid w:val="001574C5"/>
    <w:rsid w:val="00163AA5"/>
    <w:rsid w:val="0017459E"/>
    <w:rsid w:val="00177DBA"/>
    <w:rsid w:val="001811EA"/>
    <w:rsid w:val="001975FC"/>
    <w:rsid w:val="001D4F5F"/>
    <w:rsid w:val="001E51D5"/>
    <w:rsid w:val="001E56B6"/>
    <w:rsid w:val="001F6414"/>
    <w:rsid w:val="002047D7"/>
    <w:rsid w:val="00221615"/>
    <w:rsid w:val="00222C40"/>
    <w:rsid w:val="00226EFB"/>
    <w:rsid w:val="00231D65"/>
    <w:rsid w:val="00246372"/>
    <w:rsid w:val="00250E7E"/>
    <w:rsid w:val="00265286"/>
    <w:rsid w:val="002767C0"/>
    <w:rsid w:val="00280DD9"/>
    <w:rsid w:val="00285957"/>
    <w:rsid w:val="002A0A2F"/>
    <w:rsid w:val="002A144D"/>
    <w:rsid w:val="002A30D9"/>
    <w:rsid w:val="002B2B60"/>
    <w:rsid w:val="002C535D"/>
    <w:rsid w:val="002F35AF"/>
    <w:rsid w:val="002F5185"/>
    <w:rsid w:val="002F6923"/>
    <w:rsid w:val="00327C4D"/>
    <w:rsid w:val="00352E63"/>
    <w:rsid w:val="00381CD6"/>
    <w:rsid w:val="003A5C07"/>
    <w:rsid w:val="003B16C7"/>
    <w:rsid w:val="003B47AB"/>
    <w:rsid w:val="003B4F2D"/>
    <w:rsid w:val="003B6FF6"/>
    <w:rsid w:val="003C1F47"/>
    <w:rsid w:val="003C4C0F"/>
    <w:rsid w:val="003E3922"/>
    <w:rsid w:val="003F4A75"/>
    <w:rsid w:val="00404380"/>
    <w:rsid w:val="00411582"/>
    <w:rsid w:val="00426A99"/>
    <w:rsid w:val="00431058"/>
    <w:rsid w:val="00455911"/>
    <w:rsid w:val="00466933"/>
    <w:rsid w:val="00483A05"/>
    <w:rsid w:val="00494014"/>
    <w:rsid w:val="004A315B"/>
    <w:rsid w:val="004C2AA4"/>
    <w:rsid w:val="004C2D64"/>
    <w:rsid w:val="004D466D"/>
    <w:rsid w:val="004D544C"/>
    <w:rsid w:val="004D778B"/>
    <w:rsid w:val="004E1034"/>
    <w:rsid w:val="004E5B24"/>
    <w:rsid w:val="004F0479"/>
    <w:rsid w:val="00503133"/>
    <w:rsid w:val="0052003C"/>
    <w:rsid w:val="005205E6"/>
    <w:rsid w:val="00526687"/>
    <w:rsid w:val="0053724B"/>
    <w:rsid w:val="005420E9"/>
    <w:rsid w:val="00544C85"/>
    <w:rsid w:val="00553ACA"/>
    <w:rsid w:val="005558EA"/>
    <w:rsid w:val="005610E5"/>
    <w:rsid w:val="00564EC6"/>
    <w:rsid w:val="00571451"/>
    <w:rsid w:val="00576DAA"/>
    <w:rsid w:val="005775A2"/>
    <w:rsid w:val="005944C3"/>
    <w:rsid w:val="005C1779"/>
    <w:rsid w:val="005C7F31"/>
    <w:rsid w:val="005E403D"/>
    <w:rsid w:val="005F5274"/>
    <w:rsid w:val="00607C06"/>
    <w:rsid w:val="006110AC"/>
    <w:rsid w:val="0066293C"/>
    <w:rsid w:val="00666BFB"/>
    <w:rsid w:val="00683F3D"/>
    <w:rsid w:val="00686C67"/>
    <w:rsid w:val="006A23DB"/>
    <w:rsid w:val="006A296F"/>
    <w:rsid w:val="006A2E6F"/>
    <w:rsid w:val="006E7896"/>
    <w:rsid w:val="006F175A"/>
    <w:rsid w:val="006F2B58"/>
    <w:rsid w:val="006F3385"/>
    <w:rsid w:val="0070301A"/>
    <w:rsid w:val="007053C6"/>
    <w:rsid w:val="00710C1F"/>
    <w:rsid w:val="00723028"/>
    <w:rsid w:val="007237B2"/>
    <w:rsid w:val="00732E45"/>
    <w:rsid w:val="007511CF"/>
    <w:rsid w:val="007628B8"/>
    <w:rsid w:val="00764884"/>
    <w:rsid w:val="00774967"/>
    <w:rsid w:val="007820EA"/>
    <w:rsid w:val="007969F1"/>
    <w:rsid w:val="007978CA"/>
    <w:rsid w:val="007A07A3"/>
    <w:rsid w:val="007A7925"/>
    <w:rsid w:val="007B0D8E"/>
    <w:rsid w:val="007B0FD6"/>
    <w:rsid w:val="007B496E"/>
    <w:rsid w:val="007C1A3A"/>
    <w:rsid w:val="007C7A26"/>
    <w:rsid w:val="007E6A88"/>
    <w:rsid w:val="007F6CC3"/>
    <w:rsid w:val="008206B5"/>
    <w:rsid w:val="00823045"/>
    <w:rsid w:val="0083169E"/>
    <w:rsid w:val="00837834"/>
    <w:rsid w:val="00840305"/>
    <w:rsid w:val="00846378"/>
    <w:rsid w:val="00846AF8"/>
    <w:rsid w:val="008635D3"/>
    <w:rsid w:val="0086482E"/>
    <w:rsid w:val="008711B2"/>
    <w:rsid w:val="008810C0"/>
    <w:rsid w:val="00890310"/>
    <w:rsid w:val="00892564"/>
    <w:rsid w:val="008A6D6C"/>
    <w:rsid w:val="008B3DB2"/>
    <w:rsid w:val="008C350A"/>
    <w:rsid w:val="008D0CC7"/>
    <w:rsid w:val="00903AF8"/>
    <w:rsid w:val="00922A58"/>
    <w:rsid w:val="00930215"/>
    <w:rsid w:val="00933CC2"/>
    <w:rsid w:val="009605F0"/>
    <w:rsid w:val="00963ADF"/>
    <w:rsid w:val="00993DCB"/>
    <w:rsid w:val="009A554E"/>
    <w:rsid w:val="009B1AC1"/>
    <w:rsid w:val="009C092F"/>
    <w:rsid w:val="009C0D02"/>
    <w:rsid w:val="00A052E2"/>
    <w:rsid w:val="00A10AE1"/>
    <w:rsid w:val="00A2067F"/>
    <w:rsid w:val="00A22AB1"/>
    <w:rsid w:val="00A330AD"/>
    <w:rsid w:val="00A3463C"/>
    <w:rsid w:val="00A42ED6"/>
    <w:rsid w:val="00A4318A"/>
    <w:rsid w:val="00A609C8"/>
    <w:rsid w:val="00A67F85"/>
    <w:rsid w:val="00A73A9E"/>
    <w:rsid w:val="00AA1F6B"/>
    <w:rsid w:val="00AC020B"/>
    <w:rsid w:val="00AC1910"/>
    <w:rsid w:val="00AC2E75"/>
    <w:rsid w:val="00AC6EC1"/>
    <w:rsid w:val="00AD1698"/>
    <w:rsid w:val="00AE1E49"/>
    <w:rsid w:val="00AF06A8"/>
    <w:rsid w:val="00B01184"/>
    <w:rsid w:val="00B1307B"/>
    <w:rsid w:val="00B14A29"/>
    <w:rsid w:val="00B23084"/>
    <w:rsid w:val="00B2488C"/>
    <w:rsid w:val="00B25670"/>
    <w:rsid w:val="00B27029"/>
    <w:rsid w:val="00B3076B"/>
    <w:rsid w:val="00B32150"/>
    <w:rsid w:val="00B71046"/>
    <w:rsid w:val="00B7188D"/>
    <w:rsid w:val="00B769DD"/>
    <w:rsid w:val="00B87532"/>
    <w:rsid w:val="00BA59C8"/>
    <w:rsid w:val="00BA7304"/>
    <w:rsid w:val="00BC1820"/>
    <w:rsid w:val="00BC274F"/>
    <w:rsid w:val="00BC359E"/>
    <w:rsid w:val="00BC4E1B"/>
    <w:rsid w:val="00BE16E9"/>
    <w:rsid w:val="00BE53CF"/>
    <w:rsid w:val="00C25C20"/>
    <w:rsid w:val="00C30814"/>
    <w:rsid w:val="00C32374"/>
    <w:rsid w:val="00C36564"/>
    <w:rsid w:val="00C379D6"/>
    <w:rsid w:val="00C5772A"/>
    <w:rsid w:val="00C656E4"/>
    <w:rsid w:val="00C73D2F"/>
    <w:rsid w:val="00C74423"/>
    <w:rsid w:val="00C861F4"/>
    <w:rsid w:val="00CC0505"/>
    <w:rsid w:val="00CD3A4D"/>
    <w:rsid w:val="00CE2244"/>
    <w:rsid w:val="00CE66F2"/>
    <w:rsid w:val="00D05E5D"/>
    <w:rsid w:val="00D20AA2"/>
    <w:rsid w:val="00D271EF"/>
    <w:rsid w:val="00D30625"/>
    <w:rsid w:val="00D40BF8"/>
    <w:rsid w:val="00D445C8"/>
    <w:rsid w:val="00D47232"/>
    <w:rsid w:val="00D528A7"/>
    <w:rsid w:val="00D6292C"/>
    <w:rsid w:val="00D72E34"/>
    <w:rsid w:val="00D8576C"/>
    <w:rsid w:val="00D8638E"/>
    <w:rsid w:val="00D905D6"/>
    <w:rsid w:val="00D9220E"/>
    <w:rsid w:val="00DA2597"/>
    <w:rsid w:val="00DA3AC4"/>
    <w:rsid w:val="00DC0687"/>
    <w:rsid w:val="00DC08FC"/>
    <w:rsid w:val="00DC193E"/>
    <w:rsid w:val="00DD6B61"/>
    <w:rsid w:val="00E32441"/>
    <w:rsid w:val="00E4263D"/>
    <w:rsid w:val="00E504E6"/>
    <w:rsid w:val="00E67B68"/>
    <w:rsid w:val="00E93FA9"/>
    <w:rsid w:val="00EA38A1"/>
    <w:rsid w:val="00EB30E0"/>
    <w:rsid w:val="00EB4D37"/>
    <w:rsid w:val="00EB57CB"/>
    <w:rsid w:val="00EB6911"/>
    <w:rsid w:val="00EC1582"/>
    <w:rsid w:val="00EC4CDA"/>
    <w:rsid w:val="00ED229F"/>
    <w:rsid w:val="00ED2719"/>
    <w:rsid w:val="00ED4B56"/>
    <w:rsid w:val="00EE3488"/>
    <w:rsid w:val="00EE3D99"/>
    <w:rsid w:val="00EE52C8"/>
    <w:rsid w:val="00EF1F92"/>
    <w:rsid w:val="00EF39B9"/>
    <w:rsid w:val="00F20373"/>
    <w:rsid w:val="00F3612E"/>
    <w:rsid w:val="00F41D7A"/>
    <w:rsid w:val="00F4422A"/>
    <w:rsid w:val="00F46857"/>
    <w:rsid w:val="00F66AD8"/>
    <w:rsid w:val="00F9616F"/>
    <w:rsid w:val="00FA0032"/>
    <w:rsid w:val="00FC0D9F"/>
    <w:rsid w:val="00FC171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1ED38B52"/>
  <w15:docId w15:val="{BADBA4AF-948F-48DF-A4B6-DBDFD3452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286"/>
    <w:pPr>
      <w:spacing w:before="120" w:after="120" w:line="276" w:lineRule="auto"/>
      <w:jc w:val="both"/>
    </w:pPr>
    <w:rPr>
      <w:rFonts w:ascii="Calibri" w:hAnsi="Calibri"/>
      <w:sz w:val="22"/>
      <w:szCs w:val="22"/>
      <w:lang w:val="en-GB" w:eastAsia="en-US"/>
    </w:rPr>
  </w:style>
  <w:style w:type="paragraph" w:styleId="Heading1">
    <w:name w:val="heading 1"/>
    <w:basedOn w:val="Normal"/>
    <w:next w:val="Normal"/>
    <w:qFormat/>
    <w:rsid w:val="00AF06A8"/>
    <w:pPr>
      <w:keepNext/>
      <w:widowControl w:val="0"/>
      <w:suppressAutoHyphens/>
      <w:outlineLvl w:val="0"/>
    </w:pPr>
    <w:rPr>
      <w:b/>
      <w:snapToGrid w:val="0"/>
      <w:spacing w:val="-3"/>
      <w:szCs w:val="20"/>
    </w:rPr>
  </w:style>
  <w:style w:type="paragraph" w:styleId="Heading2">
    <w:name w:val="heading 2"/>
    <w:basedOn w:val="Normal"/>
    <w:next w:val="Normal"/>
    <w:qFormat/>
    <w:rsid w:val="00AF06A8"/>
    <w:pPr>
      <w:keepNext/>
      <w:widowControl w:val="0"/>
      <w:suppressAutoHyphens/>
      <w:ind w:left="5040" w:firstLine="720"/>
      <w:outlineLvl w:val="1"/>
    </w:pPr>
    <w:rPr>
      <w:snapToGrid w:val="0"/>
      <w:spacing w:val="-3"/>
      <w:szCs w:val="20"/>
    </w:rPr>
  </w:style>
  <w:style w:type="paragraph" w:styleId="Heading8">
    <w:name w:val="heading 8"/>
    <w:basedOn w:val="Normal"/>
    <w:next w:val="Normal"/>
    <w:qFormat/>
    <w:rsid w:val="00AF06A8"/>
    <w:pPr>
      <w:keepNext/>
      <w:widowControl w:val="0"/>
      <w:tabs>
        <w:tab w:val="left" w:pos="1322"/>
      </w:tabs>
      <w:ind w:left="614"/>
      <w:outlineLvl w:val="7"/>
    </w:pPr>
    <w:rPr>
      <w:b/>
      <w:snapToGrid w:val="0"/>
      <w:spacing w:val="-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F06A8"/>
    <w:pPr>
      <w:widowControl w:val="0"/>
    </w:pPr>
    <w:rPr>
      <w:snapToGrid w:val="0"/>
      <w:spacing w:val="-3"/>
      <w:szCs w:val="20"/>
      <w:lang w:val="en-US"/>
    </w:rPr>
  </w:style>
  <w:style w:type="paragraph" w:styleId="Header">
    <w:name w:val="header"/>
    <w:basedOn w:val="Normal"/>
    <w:link w:val="HeaderChar"/>
    <w:uiPriority w:val="99"/>
    <w:rsid w:val="00AF06A8"/>
    <w:pPr>
      <w:widowControl w:val="0"/>
      <w:tabs>
        <w:tab w:val="center" w:pos="4320"/>
        <w:tab w:val="right" w:pos="8640"/>
      </w:tabs>
    </w:pPr>
    <w:rPr>
      <w:snapToGrid w:val="0"/>
      <w:spacing w:val="-3"/>
      <w:szCs w:val="20"/>
      <w:lang w:val="en-US"/>
    </w:rPr>
  </w:style>
  <w:style w:type="paragraph" w:styleId="Footer">
    <w:name w:val="footer"/>
    <w:basedOn w:val="Normal"/>
    <w:link w:val="FooterChar"/>
    <w:uiPriority w:val="99"/>
    <w:rsid w:val="00AF06A8"/>
    <w:pPr>
      <w:widowControl w:val="0"/>
      <w:tabs>
        <w:tab w:val="center" w:pos="4320"/>
        <w:tab w:val="right" w:pos="8640"/>
      </w:tabs>
    </w:pPr>
    <w:rPr>
      <w:snapToGrid w:val="0"/>
      <w:spacing w:val="-3"/>
      <w:szCs w:val="20"/>
      <w:lang w:val="en-US"/>
    </w:rPr>
  </w:style>
  <w:style w:type="character" w:styleId="Hyperlink">
    <w:name w:val="Hyperlink"/>
    <w:basedOn w:val="DefaultParagraphFont"/>
    <w:uiPriority w:val="99"/>
    <w:rsid w:val="00AF06A8"/>
    <w:rPr>
      <w:color w:val="0000FF"/>
      <w:u w:val="single"/>
    </w:rPr>
  </w:style>
  <w:style w:type="paragraph" w:customStyle="1" w:styleId="Ausbildung">
    <w:name w:val="Ausbildung"/>
    <w:basedOn w:val="BodyText"/>
    <w:rsid w:val="00AF06A8"/>
    <w:pPr>
      <w:numPr>
        <w:numId w:val="7"/>
      </w:numPr>
      <w:spacing w:after="60" w:line="220" w:lineRule="atLeast"/>
    </w:pPr>
    <w:rPr>
      <w:rFonts w:ascii="Arial" w:hAnsi="Arial"/>
      <w:spacing w:val="-5"/>
    </w:rPr>
  </w:style>
  <w:style w:type="paragraph" w:customStyle="1" w:styleId="Adresse1">
    <w:name w:val="Adresse 1"/>
    <w:basedOn w:val="Normal"/>
    <w:rsid w:val="00AF06A8"/>
    <w:pPr>
      <w:framePr w:w="2160" w:wrap="notBeside" w:vAnchor="page" w:hAnchor="page" w:x="8281" w:y="1153"/>
      <w:spacing w:line="160" w:lineRule="atLeast"/>
    </w:pPr>
    <w:rPr>
      <w:rFonts w:ascii="Arial" w:hAnsi="Arial"/>
      <w:sz w:val="14"/>
      <w:szCs w:val="20"/>
      <w:lang w:val="de-DE"/>
    </w:rPr>
  </w:style>
  <w:style w:type="paragraph" w:customStyle="1" w:styleId="Adresse2">
    <w:name w:val="Adresse 2"/>
    <w:basedOn w:val="Normal"/>
    <w:rsid w:val="00AF06A8"/>
    <w:pPr>
      <w:framePr w:w="2030" w:wrap="notBeside" w:vAnchor="page" w:hAnchor="page" w:x="6121" w:y="1153"/>
      <w:spacing w:line="160" w:lineRule="atLeast"/>
    </w:pPr>
    <w:rPr>
      <w:rFonts w:ascii="Arial" w:hAnsi="Arial"/>
      <w:sz w:val="14"/>
      <w:szCs w:val="20"/>
      <w:lang w:val="de-DE"/>
    </w:rPr>
  </w:style>
  <w:style w:type="paragraph" w:customStyle="1" w:styleId="Firmenname">
    <w:name w:val="Firmenname"/>
    <w:basedOn w:val="Normal"/>
    <w:next w:val="Normal"/>
    <w:autoRedefine/>
    <w:rsid w:val="00AF06A8"/>
    <w:pPr>
      <w:tabs>
        <w:tab w:val="left" w:pos="2340"/>
        <w:tab w:val="left" w:pos="5760"/>
      </w:tabs>
      <w:spacing w:before="40" w:after="40"/>
      <w:ind w:right="-902"/>
    </w:pPr>
    <w:rPr>
      <w:rFonts w:ascii="Arial Black" w:hAnsi="Arial Black"/>
      <w:sz w:val="20"/>
      <w:szCs w:val="20"/>
    </w:rPr>
  </w:style>
  <w:style w:type="paragraph" w:customStyle="1" w:styleId="SchuleUniversitt">
    <w:name w:val="Schule/Universität"/>
    <w:basedOn w:val="Normal"/>
    <w:next w:val="Ausbildung"/>
    <w:autoRedefine/>
    <w:rsid w:val="00AF06A8"/>
    <w:pPr>
      <w:tabs>
        <w:tab w:val="left" w:pos="2160"/>
        <w:tab w:val="right" w:pos="6480"/>
      </w:tabs>
      <w:spacing w:before="40" w:after="40"/>
    </w:pPr>
    <w:rPr>
      <w:rFonts w:ascii="Arial" w:hAnsi="Arial"/>
      <w:b/>
      <w:sz w:val="20"/>
      <w:szCs w:val="20"/>
      <w:lang w:val="de-DE"/>
    </w:rPr>
  </w:style>
  <w:style w:type="paragraph" w:customStyle="1" w:styleId="Berufsbezeichnung">
    <w:name w:val="Berufsbezeichnung"/>
    <w:next w:val="Ausbildung"/>
    <w:rsid w:val="00AF06A8"/>
    <w:pPr>
      <w:spacing w:after="60" w:line="220" w:lineRule="atLeast"/>
    </w:pPr>
    <w:rPr>
      <w:rFonts w:ascii="Arial Black" w:hAnsi="Arial Black"/>
      <w:spacing w:val="-10"/>
      <w:lang w:val="de-DE" w:eastAsia="en-US"/>
    </w:rPr>
  </w:style>
  <w:style w:type="paragraph" w:customStyle="1" w:styleId="Name">
    <w:name w:val="Name"/>
    <w:basedOn w:val="Normal"/>
    <w:next w:val="Normal"/>
    <w:rsid w:val="00AF06A8"/>
    <w:pPr>
      <w:pBdr>
        <w:bottom w:val="single" w:sz="6" w:space="4" w:color="auto"/>
      </w:pBdr>
      <w:spacing w:after="440" w:line="240" w:lineRule="atLeast"/>
    </w:pPr>
    <w:rPr>
      <w:rFonts w:ascii="Arial Black" w:hAnsi="Arial Black"/>
      <w:spacing w:val="-35"/>
      <w:sz w:val="54"/>
      <w:szCs w:val="20"/>
      <w:lang w:val="de-DE"/>
    </w:rPr>
  </w:style>
  <w:style w:type="paragraph" w:customStyle="1" w:styleId="TitelAbschnitt">
    <w:name w:val="Titel Abschnitt"/>
    <w:basedOn w:val="Normal"/>
    <w:next w:val="Normal"/>
    <w:autoRedefine/>
    <w:rsid w:val="00AF06A8"/>
    <w:pPr>
      <w:spacing w:before="40" w:after="40"/>
    </w:pPr>
    <w:rPr>
      <w:rFonts w:ascii="Arial Black" w:hAnsi="Arial Black"/>
      <w:spacing w:val="-10"/>
      <w:sz w:val="20"/>
      <w:szCs w:val="20"/>
      <w:lang w:val="de-DE"/>
    </w:rPr>
  </w:style>
  <w:style w:type="paragraph" w:styleId="BodyText">
    <w:name w:val="Body Text"/>
    <w:basedOn w:val="Normal"/>
    <w:rsid w:val="00AF06A8"/>
    <w:rPr>
      <w:sz w:val="20"/>
      <w:szCs w:val="20"/>
      <w:lang w:val="de-DE"/>
    </w:rPr>
  </w:style>
  <w:style w:type="paragraph" w:styleId="BodyText2">
    <w:name w:val="Body Text 2"/>
    <w:basedOn w:val="Normal"/>
    <w:rsid w:val="00AF06A8"/>
    <w:rPr>
      <w:b/>
      <w:sz w:val="20"/>
      <w:szCs w:val="20"/>
      <w:lang w:val="de-DE"/>
    </w:rPr>
  </w:style>
  <w:style w:type="paragraph" w:styleId="BodyText3">
    <w:name w:val="Body Text 3"/>
    <w:basedOn w:val="Normal"/>
    <w:rsid w:val="00AF06A8"/>
  </w:style>
  <w:style w:type="character" w:styleId="EndnoteReference">
    <w:name w:val="endnote reference"/>
    <w:basedOn w:val="DefaultParagraphFont"/>
    <w:rsid w:val="00DD6B61"/>
    <w:rPr>
      <w:vertAlign w:val="superscript"/>
    </w:rPr>
  </w:style>
  <w:style w:type="paragraph" w:styleId="BalloonText">
    <w:name w:val="Balloon Text"/>
    <w:basedOn w:val="Normal"/>
    <w:link w:val="BalloonTextChar"/>
    <w:rsid w:val="002A0A2F"/>
    <w:rPr>
      <w:rFonts w:ascii="Tahoma" w:hAnsi="Tahoma" w:cs="Tahoma"/>
      <w:sz w:val="16"/>
      <w:szCs w:val="16"/>
    </w:rPr>
  </w:style>
  <w:style w:type="character" w:customStyle="1" w:styleId="BalloonTextChar">
    <w:name w:val="Balloon Text Char"/>
    <w:basedOn w:val="DefaultParagraphFont"/>
    <w:link w:val="BalloonText"/>
    <w:rsid w:val="002A0A2F"/>
    <w:rPr>
      <w:rFonts w:ascii="Tahoma" w:hAnsi="Tahoma" w:cs="Tahoma"/>
      <w:sz w:val="16"/>
      <w:szCs w:val="16"/>
      <w:lang w:val="en-GB" w:eastAsia="en-US"/>
    </w:rPr>
  </w:style>
  <w:style w:type="paragraph" w:styleId="FootnoteText">
    <w:name w:val="footnote text"/>
    <w:basedOn w:val="Normal"/>
    <w:link w:val="FootnoteTextChar"/>
    <w:rsid w:val="007511CF"/>
    <w:rPr>
      <w:sz w:val="20"/>
      <w:szCs w:val="20"/>
    </w:rPr>
  </w:style>
  <w:style w:type="character" w:customStyle="1" w:styleId="FootnoteTextChar">
    <w:name w:val="Footnote Text Char"/>
    <w:basedOn w:val="DefaultParagraphFont"/>
    <w:link w:val="FootnoteText"/>
    <w:rsid w:val="007511CF"/>
    <w:rPr>
      <w:lang w:val="en-GB" w:eastAsia="en-US"/>
    </w:rPr>
  </w:style>
  <w:style w:type="character" w:styleId="FootnoteReference">
    <w:name w:val="footnote reference"/>
    <w:basedOn w:val="DefaultParagraphFont"/>
    <w:rsid w:val="007511CF"/>
    <w:rPr>
      <w:vertAlign w:val="superscript"/>
    </w:rPr>
  </w:style>
  <w:style w:type="character" w:styleId="CommentReference">
    <w:name w:val="annotation reference"/>
    <w:basedOn w:val="DefaultParagraphFont"/>
    <w:semiHidden/>
    <w:unhideWhenUsed/>
    <w:rsid w:val="00CD3A4D"/>
    <w:rPr>
      <w:sz w:val="16"/>
      <w:szCs w:val="16"/>
    </w:rPr>
  </w:style>
  <w:style w:type="paragraph" w:styleId="CommentText">
    <w:name w:val="annotation text"/>
    <w:basedOn w:val="Normal"/>
    <w:link w:val="CommentTextChar"/>
    <w:semiHidden/>
    <w:unhideWhenUsed/>
    <w:rsid w:val="00CD3A4D"/>
    <w:rPr>
      <w:sz w:val="20"/>
      <w:szCs w:val="20"/>
    </w:rPr>
  </w:style>
  <w:style w:type="character" w:customStyle="1" w:styleId="CommentTextChar">
    <w:name w:val="Comment Text Char"/>
    <w:basedOn w:val="DefaultParagraphFont"/>
    <w:link w:val="CommentText"/>
    <w:semiHidden/>
    <w:rsid w:val="00CD3A4D"/>
    <w:rPr>
      <w:lang w:val="en-GB" w:eastAsia="en-US"/>
    </w:rPr>
  </w:style>
  <w:style w:type="paragraph" w:styleId="CommentSubject">
    <w:name w:val="annotation subject"/>
    <w:basedOn w:val="CommentText"/>
    <w:next w:val="CommentText"/>
    <w:link w:val="CommentSubjectChar"/>
    <w:semiHidden/>
    <w:unhideWhenUsed/>
    <w:rsid w:val="00CD3A4D"/>
    <w:rPr>
      <w:b/>
      <w:bCs/>
    </w:rPr>
  </w:style>
  <w:style w:type="character" w:customStyle="1" w:styleId="CommentSubjectChar">
    <w:name w:val="Comment Subject Char"/>
    <w:basedOn w:val="CommentTextChar"/>
    <w:link w:val="CommentSubject"/>
    <w:semiHidden/>
    <w:rsid w:val="00CD3A4D"/>
    <w:rPr>
      <w:b/>
      <w:bCs/>
      <w:lang w:val="en-GB" w:eastAsia="en-US"/>
    </w:rPr>
  </w:style>
  <w:style w:type="paragraph" w:styleId="Revision">
    <w:name w:val="Revision"/>
    <w:hidden/>
    <w:uiPriority w:val="99"/>
    <w:semiHidden/>
    <w:rsid w:val="00922A58"/>
    <w:rPr>
      <w:sz w:val="24"/>
      <w:szCs w:val="24"/>
      <w:lang w:val="en-GB" w:eastAsia="en-US"/>
    </w:rPr>
  </w:style>
  <w:style w:type="character" w:styleId="Emphasis">
    <w:name w:val="Emphasis"/>
    <w:basedOn w:val="DefaultParagraphFont"/>
    <w:uiPriority w:val="20"/>
    <w:qFormat/>
    <w:rsid w:val="00EB30E0"/>
    <w:rPr>
      <w:b/>
      <w:bCs/>
      <w:i w:val="0"/>
      <w:iCs w:val="0"/>
    </w:rPr>
  </w:style>
  <w:style w:type="character" w:customStyle="1" w:styleId="st1">
    <w:name w:val="st1"/>
    <w:basedOn w:val="DefaultParagraphFont"/>
    <w:rsid w:val="00EB30E0"/>
  </w:style>
  <w:style w:type="paragraph" w:customStyle="1" w:styleId="s13">
    <w:name w:val="s13"/>
    <w:basedOn w:val="Normal"/>
    <w:rsid w:val="00A10AE1"/>
    <w:rPr>
      <w:rFonts w:eastAsiaTheme="minorHAnsi"/>
      <w:lang w:val="en-US"/>
    </w:rPr>
  </w:style>
  <w:style w:type="character" w:customStyle="1" w:styleId="s2">
    <w:name w:val="s2"/>
    <w:basedOn w:val="DefaultParagraphFont"/>
    <w:rsid w:val="00A10AE1"/>
  </w:style>
  <w:style w:type="paragraph" w:customStyle="1" w:styleId="Default">
    <w:name w:val="Default"/>
    <w:rsid w:val="00A2067F"/>
    <w:pPr>
      <w:autoSpaceDE w:val="0"/>
      <w:autoSpaceDN w:val="0"/>
      <w:adjustRightInd w:val="0"/>
    </w:pPr>
    <w:rPr>
      <w:rFonts w:ascii="Arial" w:hAnsi="Arial" w:cs="Arial"/>
      <w:color w:val="000000"/>
      <w:sz w:val="24"/>
      <w:szCs w:val="24"/>
      <w:lang w:val="en-US"/>
    </w:rPr>
  </w:style>
  <w:style w:type="character" w:customStyle="1" w:styleId="HeaderChar">
    <w:name w:val="Header Char"/>
    <w:basedOn w:val="DefaultParagraphFont"/>
    <w:link w:val="Header"/>
    <w:uiPriority w:val="99"/>
    <w:rsid w:val="00A67F85"/>
    <w:rPr>
      <w:snapToGrid w:val="0"/>
      <w:spacing w:val="-3"/>
      <w:sz w:val="24"/>
      <w:lang w:val="en-US" w:eastAsia="en-US"/>
    </w:rPr>
  </w:style>
  <w:style w:type="paragraph" w:styleId="ListParagraph">
    <w:name w:val="List Paragraph"/>
    <w:basedOn w:val="Normal"/>
    <w:uiPriority w:val="34"/>
    <w:qFormat/>
    <w:rsid w:val="001E56B6"/>
    <w:pPr>
      <w:ind w:left="720"/>
      <w:contextualSpacing/>
    </w:pPr>
  </w:style>
  <w:style w:type="character" w:styleId="FollowedHyperlink">
    <w:name w:val="FollowedHyperlink"/>
    <w:basedOn w:val="DefaultParagraphFont"/>
    <w:semiHidden/>
    <w:unhideWhenUsed/>
    <w:rsid w:val="007053C6"/>
    <w:rPr>
      <w:color w:val="800080" w:themeColor="followedHyperlink"/>
      <w:u w:val="single"/>
    </w:rPr>
  </w:style>
  <w:style w:type="table" w:styleId="TableGrid">
    <w:name w:val="Table Grid"/>
    <w:basedOn w:val="TableNormal"/>
    <w:rsid w:val="000E7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1">
    <w:name w:val="s11"/>
    <w:basedOn w:val="DefaultParagraphFont"/>
    <w:rsid w:val="00F3612E"/>
  </w:style>
  <w:style w:type="character" w:customStyle="1" w:styleId="bumpedfont20">
    <w:name w:val="bumpedfont20"/>
    <w:basedOn w:val="DefaultParagraphFont"/>
    <w:rsid w:val="00F3612E"/>
  </w:style>
  <w:style w:type="character" w:customStyle="1" w:styleId="FooterChar">
    <w:name w:val="Footer Char"/>
    <w:basedOn w:val="DefaultParagraphFont"/>
    <w:link w:val="Footer"/>
    <w:uiPriority w:val="99"/>
    <w:rsid w:val="00455911"/>
    <w:rPr>
      <w:rFonts w:ascii="Calibri" w:hAnsi="Calibri"/>
      <w:snapToGrid w:val="0"/>
      <w:spacing w:val="-3"/>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91349">
      <w:bodyDiv w:val="1"/>
      <w:marLeft w:val="0"/>
      <w:marRight w:val="0"/>
      <w:marTop w:val="0"/>
      <w:marBottom w:val="0"/>
      <w:divBdr>
        <w:top w:val="none" w:sz="0" w:space="0" w:color="auto"/>
        <w:left w:val="none" w:sz="0" w:space="0" w:color="auto"/>
        <w:bottom w:val="none" w:sz="0" w:space="0" w:color="auto"/>
        <w:right w:val="none" w:sz="0" w:space="0" w:color="auto"/>
      </w:divBdr>
    </w:div>
    <w:div w:id="337781119">
      <w:bodyDiv w:val="1"/>
      <w:marLeft w:val="0"/>
      <w:marRight w:val="0"/>
      <w:marTop w:val="0"/>
      <w:marBottom w:val="0"/>
      <w:divBdr>
        <w:top w:val="none" w:sz="0" w:space="0" w:color="auto"/>
        <w:left w:val="none" w:sz="0" w:space="0" w:color="auto"/>
        <w:bottom w:val="none" w:sz="0" w:space="0" w:color="auto"/>
        <w:right w:val="none" w:sz="0" w:space="0" w:color="auto"/>
      </w:divBdr>
    </w:div>
    <w:div w:id="360859092">
      <w:bodyDiv w:val="1"/>
      <w:marLeft w:val="0"/>
      <w:marRight w:val="0"/>
      <w:marTop w:val="0"/>
      <w:marBottom w:val="0"/>
      <w:divBdr>
        <w:top w:val="none" w:sz="0" w:space="0" w:color="auto"/>
        <w:left w:val="none" w:sz="0" w:space="0" w:color="auto"/>
        <w:bottom w:val="none" w:sz="0" w:space="0" w:color="auto"/>
        <w:right w:val="none" w:sz="0" w:space="0" w:color="auto"/>
      </w:divBdr>
    </w:div>
    <w:div w:id="381254921">
      <w:bodyDiv w:val="1"/>
      <w:marLeft w:val="0"/>
      <w:marRight w:val="0"/>
      <w:marTop w:val="0"/>
      <w:marBottom w:val="0"/>
      <w:divBdr>
        <w:top w:val="none" w:sz="0" w:space="0" w:color="auto"/>
        <w:left w:val="none" w:sz="0" w:space="0" w:color="auto"/>
        <w:bottom w:val="none" w:sz="0" w:space="0" w:color="auto"/>
        <w:right w:val="none" w:sz="0" w:space="0" w:color="auto"/>
      </w:divBdr>
    </w:div>
    <w:div w:id="460921549">
      <w:bodyDiv w:val="1"/>
      <w:marLeft w:val="0"/>
      <w:marRight w:val="0"/>
      <w:marTop w:val="0"/>
      <w:marBottom w:val="0"/>
      <w:divBdr>
        <w:top w:val="none" w:sz="0" w:space="0" w:color="auto"/>
        <w:left w:val="none" w:sz="0" w:space="0" w:color="auto"/>
        <w:bottom w:val="none" w:sz="0" w:space="0" w:color="auto"/>
        <w:right w:val="none" w:sz="0" w:space="0" w:color="auto"/>
      </w:divBdr>
    </w:div>
    <w:div w:id="698509643">
      <w:bodyDiv w:val="1"/>
      <w:marLeft w:val="0"/>
      <w:marRight w:val="0"/>
      <w:marTop w:val="0"/>
      <w:marBottom w:val="0"/>
      <w:divBdr>
        <w:top w:val="none" w:sz="0" w:space="0" w:color="auto"/>
        <w:left w:val="none" w:sz="0" w:space="0" w:color="auto"/>
        <w:bottom w:val="none" w:sz="0" w:space="0" w:color="auto"/>
        <w:right w:val="none" w:sz="0" w:space="0" w:color="auto"/>
      </w:divBdr>
    </w:div>
    <w:div w:id="1126894594">
      <w:bodyDiv w:val="1"/>
      <w:marLeft w:val="0"/>
      <w:marRight w:val="0"/>
      <w:marTop w:val="0"/>
      <w:marBottom w:val="0"/>
      <w:divBdr>
        <w:top w:val="none" w:sz="0" w:space="0" w:color="auto"/>
        <w:left w:val="none" w:sz="0" w:space="0" w:color="auto"/>
        <w:bottom w:val="none" w:sz="0" w:space="0" w:color="auto"/>
        <w:right w:val="none" w:sz="0" w:space="0" w:color="auto"/>
      </w:divBdr>
      <w:divsChild>
        <w:div w:id="523441956">
          <w:marLeft w:val="0"/>
          <w:marRight w:val="0"/>
          <w:marTop w:val="0"/>
          <w:marBottom w:val="0"/>
          <w:divBdr>
            <w:top w:val="none" w:sz="0" w:space="0" w:color="auto"/>
            <w:left w:val="none" w:sz="0" w:space="0" w:color="auto"/>
            <w:bottom w:val="none" w:sz="0" w:space="0" w:color="auto"/>
            <w:right w:val="none" w:sz="0" w:space="0" w:color="auto"/>
          </w:divBdr>
          <w:divsChild>
            <w:div w:id="1032456714">
              <w:marLeft w:val="0"/>
              <w:marRight w:val="0"/>
              <w:marTop w:val="0"/>
              <w:marBottom w:val="0"/>
              <w:divBdr>
                <w:top w:val="none" w:sz="0" w:space="0" w:color="auto"/>
                <w:left w:val="none" w:sz="0" w:space="0" w:color="auto"/>
                <w:bottom w:val="none" w:sz="0" w:space="0" w:color="auto"/>
                <w:right w:val="none" w:sz="0" w:space="0" w:color="auto"/>
              </w:divBdr>
              <w:divsChild>
                <w:div w:id="1130126688">
                  <w:marLeft w:val="0"/>
                  <w:marRight w:val="0"/>
                  <w:marTop w:val="0"/>
                  <w:marBottom w:val="0"/>
                  <w:divBdr>
                    <w:top w:val="none" w:sz="0" w:space="0" w:color="auto"/>
                    <w:left w:val="none" w:sz="0" w:space="0" w:color="auto"/>
                    <w:bottom w:val="none" w:sz="0" w:space="0" w:color="auto"/>
                    <w:right w:val="none" w:sz="0" w:space="0" w:color="auto"/>
                  </w:divBdr>
                  <w:divsChild>
                    <w:div w:id="223301366">
                      <w:marLeft w:val="0"/>
                      <w:marRight w:val="0"/>
                      <w:marTop w:val="0"/>
                      <w:marBottom w:val="0"/>
                      <w:divBdr>
                        <w:top w:val="none" w:sz="0" w:space="0" w:color="auto"/>
                        <w:left w:val="none" w:sz="0" w:space="0" w:color="auto"/>
                        <w:bottom w:val="none" w:sz="0" w:space="0" w:color="auto"/>
                        <w:right w:val="none" w:sz="0" w:space="0" w:color="auto"/>
                      </w:divBdr>
                      <w:divsChild>
                        <w:div w:id="203521673">
                          <w:marLeft w:val="0"/>
                          <w:marRight w:val="0"/>
                          <w:marTop w:val="0"/>
                          <w:marBottom w:val="0"/>
                          <w:divBdr>
                            <w:top w:val="none" w:sz="0" w:space="0" w:color="auto"/>
                            <w:left w:val="none" w:sz="0" w:space="0" w:color="auto"/>
                            <w:bottom w:val="none" w:sz="0" w:space="0" w:color="auto"/>
                            <w:right w:val="none" w:sz="0" w:space="0" w:color="auto"/>
                          </w:divBdr>
                          <w:divsChild>
                            <w:div w:id="538665774">
                              <w:marLeft w:val="0"/>
                              <w:marRight w:val="0"/>
                              <w:marTop w:val="0"/>
                              <w:marBottom w:val="0"/>
                              <w:divBdr>
                                <w:top w:val="none" w:sz="0" w:space="0" w:color="auto"/>
                                <w:left w:val="none" w:sz="0" w:space="0" w:color="auto"/>
                                <w:bottom w:val="none" w:sz="0" w:space="0" w:color="auto"/>
                                <w:right w:val="none" w:sz="0" w:space="0" w:color="auto"/>
                              </w:divBdr>
                              <w:divsChild>
                                <w:div w:id="949431543">
                                  <w:marLeft w:val="0"/>
                                  <w:marRight w:val="0"/>
                                  <w:marTop w:val="0"/>
                                  <w:marBottom w:val="0"/>
                                  <w:divBdr>
                                    <w:top w:val="none" w:sz="0" w:space="0" w:color="auto"/>
                                    <w:left w:val="none" w:sz="0" w:space="0" w:color="auto"/>
                                    <w:bottom w:val="none" w:sz="0" w:space="0" w:color="auto"/>
                                    <w:right w:val="none" w:sz="0" w:space="0" w:color="auto"/>
                                  </w:divBdr>
                                  <w:divsChild>
                                    <w:div w:id="447088608">
                                      <w:marLeft w:val="0"/>
                                      <w:marRight w:val="0"/>
                                      <w:marTop w:val="0"/>
                                      <w:marBottom w:val="0"/>
                                      <w:divBdr>
                                        <w:top w:val="none" w:sz="0" w:space="0" w:color="auto"/>
                                        <w:left w:val="none" w:sz="0" w:space="0" w:color="auto"/>
                                        <w:bottom w:val="none" w:sz="0" w:space="0" w:color="auto"/>
                                        <w:right w:val="none" w:sz="0" w:space="0" w:color="auto"/>
                                      </w:divBdr>
                                      <w:divsChild>
                                        <w:div w:id="375198522">
                                          <w:marLeft w:val="0"/>
                                          <w:marRight w:val="0"/>
                                          <w:marTop w:val="0"/>
                                          <w:marBottom w:val="0"/>
                                          <w:divBdr>
                                            <w:top w:val="none" w:sz="0" w:space="0" w:color="auto"/>
                                            <w:left w:val="none" w:sz="0" w:space="0" w:color="auto"/>
                                            <w:bottom w:val="none" w:sz="0" w:space="0" w:color="auto"/>
                                            <w:right w:val="none" w:sz="0" w:space="0" w:color="auto"/>
                                          </w:divBdr>
                                          <w:divsChild>
                                            <w:div w:id="2103721565">
                                              <w:marLeft w:val="0"/>
                                              <w:marRight w:val="0"/>
                                              <w:marTop w:val="0"/>
                                              <w:marBottom w:val="0"/>
                                              <w:divBdr>
                                                <w:top w:val="none" w:sz="0" w:space="0" w:color="auto"/>
                                                <w:left w:val="none" w:sz="0" w:space="0" w:color="auto"/>
                                                <w:bottom w:val="none" w:sz="0" w:space="0" w:color="auto"/>
                                                <w:right w:val="none" w:sz="0" w:space="0" w:color="auto"/>
                                              </w:divBdr>
                                              <w:divsChild>
                                                <w:div w:id="471487684">
                                                  <w:marLeft w:val="0"/>
                                                  <w:marRight w:val="0"/>
                                                  <w:marTop w:val="0"/>
                                                  <w:marBottom w:val="0"/>
                                                  <w:divBdr>
                                                    <w:top w:val="none" w:sz="0" w:space="0" w:color="auto"/>
                                                    <w:left w:val="none" w:sz="0" w:space="0" w:color="auto"/>
                                                    <w:bottom w:val="none" w:sz="0" w:space="0" w:color="auto"/>
                                                    <w:right w:val="none" w:sz="0" w:space="0" w:color="auto"/>
                                                  </w:divBdr>
                                                  <w:divsChild>
                                                    <w:div w:id="1791121044">
                                                      <w:marLeft w:val="0"/>
                                                      <w:marRight w:val="0"/>
                                                      <w:marTop w:val="0"/>
                                                      <w:marBottom w:val="0"/>
                                                      <w:divBdr>
                                                        <w:top w:val="none" w:sz="0" w:space="0" w:color="auto"/>
                                                        <w:left w:val="none" w:sz="0" w:space="0" w:color="auto"/>
                                                        <w:bottom w:val="none" w:sz="0" w:space="0" w:color="auto"/>
                                                        <w:right w:val="none" w:sz="0" w:space="0" w:color="auto"/>
                                                      </w:divBdr>
                                                      <w:divsChild>
                                                        <w:div w:id="202637652">
                                                          <w:marLeft w:val="0"/>
                                                          <w:marRight w:val="0"/>
                                                          <w:marTop w:val="0"/>
                                                          <w:marBottom w:val="0"/>
                                                          <w:divBdr>
                                                            <w:top w:val="none" w:sz="0" w:space="0" w:color="auto"/>
                                                            <w:left w:val="none" w:sz="0" w:space="0" w:color="auto"/>
                                                            <w:bottom w:val="none" w:sz="0" w:space="0" w:color="auto"/>
                                                            <w:right w:val="none" w:sz="0" w:space="0" w:color="auto"/>
                                                          </w:divBdr>
                                                          <w:divsChild>
                                                            <w:div w:id="888956532">
                                                              <w:marLeft w:val="0"/>
                                                              <w:marRight w:val="0"/>
                                                              <w:marTop w:val="0"/>
                                                              <w:marBottom w:val="0"/>
                                                              <w:divBdr>
                                                                <w:top w:val="none" w:sz="0" w:space="0" w:color="auto"/>
                                                                <w:left w:val="none" w:sz="0" w:space="0" w:color="auto"/>
                                                                <w:bottom w:val="none" w:sz="0" w:space="0" w:color="auto"/>
                                                                <w:right w:val="none" w:sz="0" w:space="0" w:color="auto"/>
                                                              </w:divBdr>
                                                              <w:divsChild>
                                                                <w:div w:id="215237434">
                                                                  <w:marLeft w:val="0"/>
                                                                  <w:marRight w:val="0"/>
                                                                  <w:marTop w:val="0"/>
                                                                  <w:marBottom w:val="0"/>
                                                                  <w:divBdr>
                                                                    <w:top w:val="none" w:sz="0" w:space="0" w:color="auto"/>
                                                                    <w:left w:val="none" w:sz="0" w:space="0" w:color="auto"/>
                                                                    <w:bottom w:val="none" w:sz="0" w:space="0" w:color="auto"/>
                                                                    <w:right w:val="none" w:sz="0" w:space="0" w:color="auto"/>
                                                                  </w:divBdr>
                                                                  <w:divsChild>
                                                                    <w:div w:id="490096458">
                                                                      <w:marLeft w:val="600"/>
                                                                      <w:marRight w:val="600"/>
                                                                      <w:marTop w:val="100"/>
                                                                      <w:marBottom w:val="100"/>
                                                                      <w:divBdr>
                                                                        <w:top w:val="none" w:sz="0" w:space="0" w:color="auto"/>
                                                                        <w:left w:val="none" w:sz="0" w:space="0" w:color="auto"/>
                                                                        <w:bottom w:val="none" w:sz="0" w:space="0" w:color="auto"/>
                                                                        <w:right w:val="none" w:sz="0" w:space="0" w:color="auto"/>
                                                                      </w:divBdr>
                                                                      <w:divsChild>
                                                                        <w:div w:id="1909612395">
                                                                          <w:marLeft w:val="0"/>
                                                                          <w:marRight w:val="0"/>
                                                                          <w:marTop w:val="0"/>
                                                                          <w:marBottom w:val="0"/>
                                                                          <w:divBdr>
                                                                            <w:top w:val="none" w:sz="0" w:space="0" w:color="auto"/>
                                                                            <w:left w:val="none" w:sz="0" w:space="0" w:color="auto"/>
                                                                            <w:bottom w:val="none" w:sz="0" w:space="0" w:color="auto"/>
                                                                            <w:right w:val="none" w:sz="0" w:space="0" w:color="auto"/>
                                                                          </w:divBdr>
                                                                          <w:divsChild>
                                                                            <w:div w:id="760565482">
                                                                              <w:marLeft w:val="0"/>
                                                                              <w:marRight w:val="0"/>
                                                                              <w:marTop w:val="0"/>
                                                                              <w:marBottom w:val="0"/>
                                                                              <w:divBdr>
                                                                                <w:top w:val="none" w:sz="0" w:space="0" w:color="auto"/>
                                                                                <w:left w:val="none" w:sz="0" w:space="0" w:color="auto"/>
                                                                                <w:bottom w:val="none" w:sz="0" w:space="0" w:color="auto"/>
                                                                                <w:right w:val="none" w:sz="0" w:space="0" w:color="auto"/>
                                                                              </w:divBdr>
                                                                            </w:div>
                                                                            <w:div w:id="2052416085">
                                                                              <w:marLeft w:val="0"/>
                                                                              <w:marRight w:val="0"/>
                                                                              <w:marTop w:val="0"/>
                                                                              <w:marBottom w:val="0"/>
                                                                              <w:divBdr>
                                                                                <w:top w:val="none" w:sz="0" w:space="0" w:color="auto"/>
                                                                                <w:left w:val="none" w:sz="0" w:space="0" w:color="auto"/>
                                                                                <w:bottom w:val="none" w:sz="0" w:space="0" w:color="auto"/>
                                                                                <w:right w:val="none" w:sz="0" w:space="0" w:color="auto"/>
                                                                              </w:divBdr>
                                                                            </w:div>
                                                                            <w:div w:id="189145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5102927">
      <w:bodyDiv w:val="1"/>
      <w:marLeft w:val="0"/>
      <w:marRight w:val="0"/>
      <w:marTop w:val="0"/>
      <w:marBottom w:val="0"/>
      <w:divBdr>
        <w:top w:val="none" w:sz="0" w:space="0" w:color="auto"/>
        <w:left w:val="none" w:sz="0" w:space="0" w:color="auto"/>
        <w:bottom w:val="none" w:sz="0" w:space="0" w:color="auto"/>
        <w:right w:val="none" w:sz="0" w:space="0" w:color="auto"/>
      </w:divBdr>
    </w:div>
    <w:div w:id="1363287408">
      <w:bodyDiv w:val="1"/>
      <w:marLeft w:val="0"/>
      <w:marRight w:val="0"/>
      <w:marTop w:val="0"/>
      <w:marBottom w:val="0"/>
      <w:divBdr>
        <w:top w:val="none" w:sz="0" w:space="0" w:color="auto"/>
        <w:left w:val="none" w:sz="0" w:space="0" w:color="auto"/>
        <w:bottom w:val="none" w:sz="0" w:space="0" w:color="auto"/>
        <w:right w:val="none" w:sz="0" w:space="0" w:color="auto"/>
      </w:divBdr>
    </w:div>
    <w:div w:id="1397436782">
      <w:bodyDiv w:val="1"/>
      <w:marLeft w:val="0"/>
      <w:marRight w:val="0"/>
      <w:marTop w:val="0"/>
      <w:marBottom w:val="0"/>
      <w:divBdr>
        <w:top w:val="none" w:sz="0" w:space="0" w:color="auto"/>
        <w:left w:val="none" w:sz="0" w:space="0" w:color="auto"/>
        <w:bottom w:val="none" w:sz="0" w:space="0" w:color="auto"/>
        <w:right w:val="none" w:sz="0" w:space="0" w:color="auto"/>
      </w:divBdr>
    </w:div>
    <w:div w:id="1469740229">
      <w:bodyDiv w:val="1"/>
      <w:marLeft w:val="0"/>
      <w:marRight w:val="0"/>
      <w:marTop w:val="0"/>
      <w:marBottom w:val="0"/>
      <w:divBdr>
        <w:top w:val="none" w:sz="0" w:space="0" w:color="auto"/>
        <w:left w:val="none" w:sz="0" w:space="0" w:color="auto"/>
        <w:bottom w:val="none" w:sz="0" w:space="0" w:color="auto"/>
        <w:right w:val="none" w:sz="0" w:space="0" w:color="auto"/>
      </w:divBdr>
    </w:div>
    <w:div w:id="1745835523">
      <w:bodyDiv w:val="1"/>
      <w:marLeft w:val="0"/>
      <w:marRight w:val="0"/>
      <w:marTop w:val="0"/>
      <w:marBottom w:val="0"/>
      <w:divBdr>
        <w:top w:val="none" w:sz="0" w:space="0" w:color="auto"/>
        <w:left w:val="none" w:sz="0" w:space="0" w:color="auto"/>
        <w:bottom w:val="none" w:sz="0" w:space="0" w:color="auto"/>
        <w:right w:val="none" w:sz="0" w:space="0" w:color="auto"/>
      </w:divBdr>
    </w:div>
    <w:div w:id="2019647988">
      <w:bodyDiv w:val="1"/>
      <w:marLeft w:val="0"/>
      <w:marRight w:val="0"/>
      <w:marTop w:val="0"/>
      <w:marBottom w:val="0"/>
      <w:divBdr>
        <w:top w:val="none" w:sz="0" w:space="0" w:color="auto"/>
        <w:left w:val="none" w:sz="0" w:space="0" w:color="auto"/>
        <w:bottom w:val="none" w:sz="0" w:space="0" w:color="auto"/>
        <w:right w:val="none" w:sz="0" w:space="0" w:color="auto"/>
      </w:divBdr>
    </w:div>
    <w:div w:id="2039235178">
      <w:bodyDiv w:val="1"/>
      <w:marLeft w:val="0"/>
      <w:marRight w:val="0"/>
      <w:marTop w:val="0"/>
      <w:marBottom w:val="0"/>
      <w:divBdr>
        <w:top w:val="none" w:sz="0" w:space="0" w:color="auto"/>
        <w:left w:val="none" w:sz="0" w:space="0" w:color="auto"/>
        <w:bottom w:val="none" w:sz="0" w:space="0" w:color="auto"/>
        <w:right w:val="none" w:sz="0" w:space="0" w:color="auto"/>
      </w:divBdr>
    </w:div>
    <w:div w:id="205110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law/better-regulation/initiatives/ares-2018-2681500_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efama.org/" TargetMode="External"/><Relationship Id="rId1" Type="http://schemas.openxmlformats.org/officeDocument/2006/relationships/hyperlink" Target="mailto:info@efama.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efama.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Documents%20and%20Settings\miriam.EFAMA\Application%20Data\Microsoft\Templates\FEFSI-my%20templates\Letter0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ublication" ma:contentTypeID="0x0101006B87574BF88D8E49B97A41DB2F6341ED00AEC96F4BE1469B4481A171FAC71C833F" ma:contentTypeVersion="11" ma:contentTypeDescription="" ma:contentTypeScope="" ma:versionID="f9999417977814601ad55d19611eb821">
  <xsd:schema xmlns:xsd="http://www.w3.org/2001/XMLSchema" xmlns:xs="http://www.w3.org/2001/XMLSchema" xmlns:p="http://schemas.microsoft.com/office/2006/metadata/properties" xmlns:ns2="2e6f6f25-d9b7-45d9-9f6b-2fac65a55804" targetNamespace="http://schemas.microsoft.com/office/2006/metadata/properties" ma:root="true" ma:fieldsID="f7756abd93cd2208977ab2ebfcf5577e" ns2:_="">
    <xsd:import namespace="2e6f6f25-d9b7-45d9-9f6b-2fac65a55804"/>
    <xsd:element name="properties">
      <xsd:complexType>
        <xsd:sequence>
          <xsd:element name="documentManagement">
            <xsd:complexType>
              <xsd:all>
                <xsd:element ref="ns2:Migrate" minOccurs="0"/>
                <xsd:element ref="ns2:Target" minOccurs="0"/>
                <xsd:element ref="ns2:PublicationDate" minOccurs="0"/>
                <xsd:element ref="ns2:TopicInternet" minOccurs="0"/>
                <xsd:element ref="ns2:Theme" minOccurs="0"/>
                <xsd:element ref="ns2:Audience1" minOccurs="0"/>
                <xsd:element ref="ns2:o532e6d2819444af8cb1b8bfe9e8b0a7"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f6f25-d9b7-45d9-9f6b-2fac65a55804" elementFormDefault="qualified">
    <xsd:import namespace="http://schemas.microsoft.com/office/2006/documentManagement/types"/>
    <xsd:import namespace="http://schemas.microsoft.com/office/infopath/2007/PartnerControls"/>
    <xsd:element name="Migrate" ma:index="2" nillable="true" ma:displayName="Migrate" ma:default="0" ma:internalName="Migrate">
      <xsd:simpleType>
        <xsd:restriction base="dms:Boolean"/>
      </xsd:simpleType>
    </xsd:element>
    <xsd:element name="Target" ma:index="3" nillable="true" ma:displayName="Target" ma:format="Dropdown" ma:internalName="Target">
      <xsd:simpleType>
        <xsd:restriction base="dms:Choice">
          <xsd:enumeration value="Press Release"/>
          <xsd:enumeration value="Policy"/>
          <xsd:enumeration value="Publication"/>
          <xsd:enumeration value="Statistics"/>
        </xsd:restriction>
      </xsd:simpleType>
    </xsd:element>
    <xsd:element name="PublicationDate" ma:index="5" nillable="true" ma:displayName="Publication Date" ma:format="DateOnly" ma:internalName="PublicationDate" ma:readOnly="false">
      <xsd:simpleType>
        <xsd:restriction base="dms:DateTime"/>
      </xsd:simpleType>
    </xsd:element>
    <xsd:element name="TopicInternet" ma:index="6" nillable="true" ma:displayName="Topic Internet" ma:internalName="TopicInternet" ma:readOnly="false">
      <xsd:simpleType>
        <xsd:restriction base="dms:Text">
          <xsd:maxLength value="255"/>
        </xsd:restriction>
      </xsd:simpleType>
    </xsd:element>
    <xsd:element name="Theme" ma:index="7" nillable="true" ma:displayName="Theme" ma:internalName="Theme">
      <xsd:simpleType>
        <xsd:restriction base="dms:Text">
          <xsd:maxLength value="255"/>
        </xsd:restriction>
      </xsd:simpleType>
    </xsd:element>
    <xsd:element name="Audience1" ma:index="8" nillable="true" ma:displayName="Audience" ma:internalName="Audience1">
      <xsd:simpleType>
        <xsd:restriction base="dms:Text">
          <xsd:maxLength value="255"/>
        </xsd:restriction>
      </xsd:simpleType>
    </xsd:element>
    <xsd:element name="o532e6d2819444af8cb1b8bfe9e8b0a7" ma:index="11" nillable="true" ma:taxonomy="true" ma:internalName="o532e6d2819444af8cb1b8bfe9e8b0a7" ma:taxonomyFieldName="Topic" ma:displayName="Topic" ma:default="" ma:fieldId="{8532e6d2-8194-44af-8cb1-b8bfe9e8b0a7}" ma:taxonomyMulti="true" ma:sspId="4005ee7d-9196-4379-8658-44738156ffb8" ma:termSetId="23c9982e-e857-4d48-835a-829dab1abcb2"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ce1535f0-be87-46cc-84ad-ddef0b9840dd}" ma:internalName="TaxCatchAll" ma:showField="CatchAllData" ma:web="2e6f6f25-d9b7-45d9-9f6b-2fac65a5580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ce1535f0-be87-46cc-84ad-ddef0b9840dd}" ma:internalName="TaxCatchAllLabel" ma:readOnly="true" ma:showField="CatchAllDataLabel" ma:web="2e6f6f25-d9b7-45d9-9f6b-2fac65a558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cationDate xmlns="2e6f6f25-d9b7-45d9-9f6b-2fac65a55804">2018-06-19T22:00:00+00:00</PublicationDate>
    <Theme xmlns="2e6f6f25-d9b7-45d9-9f6b-2fac65a55804">Financial Markets</Theme>
    <o532e6d2819444af8cb1b8bfe9e8b0a7 xmlns="2e6f6f25-d9b7-45d9-9f6b-2fac65a55804">
      <Terms xmlns="http://schemas.microsoft.com/office/infopath/2007/PartnerControls">
        <TermInfo xmlns="http://schemas.microsoft.com/office/infopath/2007/PartnerControls">
          <TermName xmlns="http://schemas.microsoft.com/office/infopath/2007/PartnerControls">MiFID/MiFIR</TermName>
          <TermId xmlns="http://schemas.microsoft.com/office/infopath/2007/PartnerControls">deeb00a0-6e1a-489d-9699-4e462f95c099</TermId>
        </TermInfo>
        <TermInfo xmlns="http://schemas.microsoft.com/office/infopath/2007/PartnerControls">
          <TermName xmlns="http://schemas.microsoft.com/office/infopath/2007/PartnerControls">#Sustainable Finance</TermName>
          <TermId xmlns="http://schemas.microsoft.com/office/infopath/2007/PartnerControls">4c366eec-2066-4f2d-8af0-2f2cdde83d08</TermId>
        </TermInfo>
      </Terms>
    </o532e6d2819444af8cb1b8bfe9e8b0a7>
    <TopicInternet xmlns="2e6f6f25-d9b7-45d9-9f6b-2fac65a55804">MiFID/MiFIR;#Responsible Investment</TopicInternet>
    <Audience1 xmlns="2e6f6f25-d9b7-45d9-9f6b-2fac65a55804">Public</Audience1>
    <TaxCatchAll xmlns="2e6f6f25-d9b7-45d9-9f6b-2fac65a55804">
      <Value>62</Value>
      <Value>78</Value>
    </TaxCatchAll>
    <Migrate xmlns="2e6f6f25-d9b7-45d9-9f6b-2fac65a55804">true</Migrate>
    <Target xmlns="2e6f6f25-d9b7-45d9-9f6b-2fac65a55804">Policy</Target>
  </documentManagement>
</p:properties>
</file>

<file path=customXml/itemProps1.xml><?xml version="1.0" encoding="utf-8"?>
<ds:datastoreItem xmlns:ds="http://schemas.openxmlformats.org/officeDocument/2006/customXml" ds:itemID="{FE9A13D3-54C1-4373-9782-A4BE0E122F10}"/>
</file>

<file path=customXml/itemProps2.xml><?xml version="1.0" encoding="utf-8"?>
<ds:datastoreItem xmlns:ds="http://schemas.openxmlformats.org/officeDocument/2006/customXml" ds:itemID="{0EBC9E26-C563-41B8-9EEF-CD77C652DF74}"/>
</file>

<file path=customXml/itemProps3.xml><?xml version="1.0" encoding="utf-8"?>
<ds:datastoreItem xmlns:ds="http://schemas.openxmlformats.org/officeDocument/2006/customXml" ds:itemID="{51202A2C-F8E9-4072-B79A-DA8AECAB7670}"/>
</file>

<file path=customXml/itemProps4.xml><?xml version="1.0" encoding="utf-8"?>
<ds:datastoreItem xmlns:ds="http://schemas.openxmlformats.org/officeDocument/2006/customXml" ds:itemID="{2442D626-9F25-4FF8-872F-4506C268D5F8}"/>
</file>

<file path=docProps/app.xml><?xml version="1.0" encoding="utf-8"?>
<Properties xmlns="http://schemas.openxmlformats.org/officeDocument/2006/extended-properties" xmlns:vt="http://schemas.openxmlformats.org/officeDocument/2006/docPropsVTypes">
  <Template>Letter07</Template>
  <TotalTime>0</TotalTime>
  <Pages>4</Pages>
  <Words>1548</Words>
  <Characters>8977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Letter</vt:lpstr>
    </vt:vector>
  </TitlesOfParts>
  <Company>FEFSI</Company>
  <LinksUpToDate>false</LinksUpToDate>
  <CharactersWithSpaces>10504</CharactersWithSpaces>
  <SharedDoc>false</SharedDoc>
  <HLinks>
    <vt:vector size="12" baseType="variant">
      <vt:variant>
        <vt:i4>1048626</vt:i4>
      </vt:variant>
      <vt:variant>
        <vt:i4>3</vt:i4>
      </vt:variant>
      <vt:variant>
        <vt:i4>0</vt:i4>
      </vt:variant>
      <vt:variant>
        <vt:i4>5</vt:i4>
      </vt:variant>
      <vt:variant>
        <vt:lpwstr>mailto:Rebecca.Ball@esma.europa.eu</vt:lpwstr>
      </vt:variant>
      <vt:variant>
        <vt:lpwstr/>
      </vt:variant>
      <vt:variant>
        <vt:i4>3473415</vt:i4>
      </vt:variant>
      <vt:variant>
        <vt:i4>0</vt:i4>
      </vt:variant>
      <vt:variant>
        <vt:i4>0</vt:i4>
      </vt:variant>
      <vt:variant>
        <vt:i4>5</vt:i4>
      </vt:variant>
      <vt:variant>
        <vt:lpwstr>mailto:steven.maijoor@esma.europa.eu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EFAMA’s comments on EU Commission’s draft legislative proposals in relation to sustainable Finance Initiative &amp; MiFID II suitability requirements</dc:title>
  <dc:subject/>
  <dc:creator>EFAMA Secretariat</dc:creator>
  <cp:keywords/>
  <cp:lastModifiedBy>Antonella Massimi</cp:lastModifiedBy>
  <cp:revision>2</cp:revision>
  <cp:lastPrinted>2018-04-18T13:32:00Z</cp:lastPrinted>
  <dcterms:created xsi:type="dcterms:W3CDTF">2018-06-27T07:31:00Z</dcterms:created>
  <dcterms:modified xsi:type="dcterms:W3CDTF">2018-06-27T07:31:00Z</dcterms:modified>
  <cp:contentStatus>Published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0x0101006B87574BF88D8E49B97A41DB2F6341ED00AEC96F4BE1469B4481A171FAC71C833F</vt:lpwstr>
  </property>
  <property fmtid="{D5CDD505-2E9C-101B-9397-08002B2CF9AE}" pid="3" name="Order">
    <vt:r8>12100</vt:r8>
  </property>
  <property fmtid="{D5CDD505-2E9C-101B-9397-08002B2CF9AE}" pid="4" name="Topic">
    <vt:lpwstr>62;#MiFID/MiFIR|deeb00a0-6e1a-489d-9699-4e462f95c099;#78;##Sustainable Finance|4c366eec-2066-4f2d-8af0-2f2cdde83d08</vt:lpwstr>
  </property>
</Properties>
</file>